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/>
        <w:rPr>
          <w:rFonts w:ascii="微软雅黑" w:hAnsi="微软雅黑" w:eastAsia="微软雅黑" w:cs="微软雅黑"/>
          <w:color w:val="333333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附件1</w:t>
      </w:r>
    </w:p>
    <w:p>
      <w:pPr>
        <w:widowControl/>
        <w:adjustRightInd w:val="0"/>
        <w:snapToGrid w:val="0"/>
        <w:spacing w:line="500" w:lineRule="exact"/>
        <w:ind w:right="618"/>
        <w:jc w:val="center"/>
        <w:rPr>
          <w:rFonts w:ascii="黑体" w:eastAsia="黑体"/>
          <w:b/>
          <w:bCs/>
          <w:sz w:val="36"/>
        </w:rPr>
      </w:pPr>
      <w:bookmarkStart w:id="0" w:name="_GoBack"/>
      <w:r>
        <w:rPr>
          <w:rFonts w:hint="eastAsia" w:ascii="黑体" w:eastAsia="黑体"/>
          <w:b/>
          <w:bCs/>
          <w:sz w:val="36"/>
        </w:rPr>
        <w:t>江北区住房和城乡建设局（交通运输局）编外人员岗位设置与要求</w:t>
      </w:r>
    </w:p>
    <w:bookmarkEnd w:id="0"/>
    <w:tbl>
      <w:tblPr>
        <w:tblStyle w:val="5"/>
        <w:tblW w:w="1394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7"/>
        <w:gridCol w:w="1255"/>
        <w:gridCol w:w="927"/>
        <w:gridCol w:w="2299"/>
        <w:gridCol w:w="2169"/>
        <w:gridCol w:w="3358"/>
        <w:gridCol w:w="311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</w:rPr>
              <w:t>岗位职责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</w:rPr>
              <w:t>招聘专业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</w:rPr>
              <w:t>学历（学位）要求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</w:rPr>
              <w:t>其他资格条件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协助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工程监督内业管理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工作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大专及以上学历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1、1983年8月1日后出生；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2、土木类专业优先。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房地产管理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协助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房地产行业监督与管理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工作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大学及以上学历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1、1983年8月1日后出生；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2、房地产开发与管理相关专业优先。    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规划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协助村镇规划建设工作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大学及以上学历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1、1983年8月1日后出生； 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2、城乡规划相关专业优先。   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办公室文员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协助完成办公室工作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大专及以上学历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1983年8月1日后出生；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6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路政协管员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协助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公路运输行业管理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工作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大专及以上学历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18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1983年8月1日后出生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A4B4A"/>
    <w:rsid w:val="26CA4B4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2018-08-22T02:55:00Z</dcterms:created>
  <dc:creator>Await●</dc:creator>
  <cp:lastModifiedBy>Await●</cp:lastModifiedBy>
  <dcterms:modified xsi:type="dcterms:W3CDTF">2018-08-22T02:57:54Z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