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22" w:rsidRDefault="00CC3522" w:rsidP="00CC3522">
      <w:pPr>
        <w:tabs>
          <w:tab w:val="left" w:pos="0"/>
        </w:tabs>
        <w:snapToGrid w:val="0"/>
        <w:spacing w:line="295" w:lineRule="auto"/>
        <w:ind w:right="6"/>
        <w:jc w:val="center"/>
        <w:rPr>
          <w:rFonts w:ascii="宋体" w:hAnsi="Times New Roman"/>
          <w:b/>
          <w:w w:val="80"/>
          <w:sz w:val="36"/>
          <w:szCs w:val="36"/>
        </w:rPr>
      </w:pPr>
      <w:r>
        <w:rPr>
          <w:rFonts w:ascii="宋体" w:hAnsi="Times New Roman" w:hint="eastAsia"/>
          <w:b/>
          <w:w w:val="80"/>
          <w:sz w:val="36"/>
          <w:szCs w:val="36"/>
        </w:rPr>
        <w:t>中国核工业集团法律事务部</w:t>
      </w:r>
      <w:r>
        <w:rPr>
          <w:rFonts w:ascii="宋体" w:hAnsi="Times New Roman"/>
          <w:b/>
          <w:w w:val="80"/>
          <w:sz w:val="36"/>
          <w:szCs w:val="36"/>
        </w:rPr>
        <w:t>2015</w:t>
      </w:r>
      <w:r>
        <w:rPr>
          <w:rFonts w:ascii="宋体" w:hAnsi="Times New Roman" w:hint="eastAsia"/>
          <w:b/>
          <w:w w:val="80"/>
          <w:sz w:val="36"/>
          <w:szCs w:val="36"/>
        </w:rPr>
        <w:t>年公开招聘岗位信息一览表</w:t>
      </w:r>
    </w:p>
    <w:tbl>
      <w:tblPr>
        <w:tblW w:w="145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8"/>
        <w:gridCol w:w="567"/>
        <w:gridCol w:w="567"/>
        <w:gridCol w:w="567"/>
        <w:gridCol w:w="850"/>
        <w:gridCol w:w="851"/>
        <w:gridCol w:w="5489"/>
        <w:gridCol w:w="4659"/>
        <w:gridCol w:w="483"/>
      </w:tblGrid>
      <w:tr w:rsidR="00CC3522" w:rsidTr="00427ED1">
        <w:trPr>
          <w:trHeight w:val="143"/>
          <w:tblHeader/>
        </w:trPr>
        <w:tc>
          <w:tcPr>
            <w:tcW w:w="488"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岗位编号</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招聘部门</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岗位名称</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学历要求</w:t>
            </w: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年龄要求</w:t>
            </w: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专业</w:t>
            </w:r>
          </w:p>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要求</w:t>
            </w:r>
          </w:p>
        </w:tc>
        <w:tc>
          <w:tcPr>
            <w:tcW w:w="5489"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资格要求</w:t>
            </w:r>
          </w:p>
        </w:tc>
        <w:tc>
          <w:tcPr>
            <w:tcW w:w="4659"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工作职责</w:t>
            </w: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招聘人数</w:t>
            </w:r>
          </w:p>
        </w:tc>
      </w:tr>
      <w:tr w:rsidR="00CC3522" w:rsidTr="00427ED1">
        <w:trPr>
          <w:trHeight w:val="143"/>
        </w:trPr>
        <w:tc>
          <w:tcPr>
            <w:tcW w:w="488"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法律事务部</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副主任</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本科及以上学历</w:t>
            </w: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45周岁以下，特别优秀可放宽到50周岁</w:t>
            </w: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法律类相关专业</w:t>
            </w:r>
          </w:p>
        </w:tc>
        <w:tc>
          <w:tcPr>
            <w:tcW w:w="548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sidRPr="00693FA1">
              <w:rPr>
                <w:rFonts w:ascii="宋体" w:hAnsi="Times New Roman" w:hint="eastAsia"/>
                <w:w w:val="80"/>
                <w:sz w:val="24"/>
                <w:szCs w:val="24"/>
              </w:rPr>
              <w:t xml:space="preserve"> </w:t>
            </w:r>
            <w:r w:rsidRPr="006B033C">
              <w:rPr>
                <w:rFonts w:ascii="宋体" w:hAnsi="Times New Roman" w:hint="eastAsia"/>
                <w:w w:val="80"/>
                <w:sz w:val="24"/>
                <w:szCs w:val="24"/>
              </w:rPr>
              <w:t>具有律师或司考或法律顾问资格。律师或司考等职业资格者优先考虑，国际经济法类专业优先。</w:t>
            </w:r>
          </w:p>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w:t>
            </w:r>
            <w:r w:rsidRPr="00693FA1">
              <w:rPr>
                <w:rFonts w:ascii="宋体" w:hAnsi="Times New Roman" w:hint="eastAsia"/>
                <w:w w:val="80"/>
                <w:sz w:val="24"/>
                <w:szCs w:val="24"/>
              </w:rPr>
              <w:t xml:space="preserve"> </w:t>
            </w:r>
            <w:r w:rsidRPr="006B033C">
              <w:rPr>
                <w:rFonts w:ascii="宋体" w:hAnsi="Times New Roman" w:hint="eastAsia"/>
                <w:w w:val="80"/>
                <w:sz w:val="24"/>
                <w:szCs w:val="24"/>
              </w:rPr>
              <w:t>具有较强的组织协调、沟通、分析与解决问题的能力。英语能够作为工作语言。具有10年以上工作经验,7年以上法律管理等相关工作经验。</w:t>
            </w:r>
          </w:p>
          <w:p w:rsidR="00CC3522" w:rsidRPr="00E43A3E" w:rsidRDefault="00CC3522"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3.</w:t>
            </w:r>
            <w:r w:rsidRPr="00693FA1">
              <w:rPr>
                <w:rFonts w:ascii="宋体" w:hAnsi="Times New Roman" w:hint="eastAsia"/>
                <w:w w:val="80"/>
                <w:sz w:val="24"/>
                <w:szCs w:val="24"/>
              </w:rPr>
              <w:t xml:space="preserve"> </w:t>
            </w:r>
            <w:r w:rsidRPr="006B033C">
              <w:rPr>
                <w:rFonts w:ascii="宋体" w:hAnsi="Times New Roman" w:hint="eastAsia"/>
                <w:w w:val="80"/>
                <w:sz w:val="24"/>
                <w:szCs w:val="24"/>
              </w:rPr>
              <w:t>担任分管法律的高级管理人员、或总法律顾问、或法律管理类处室处长（正处级，分管法律、3年以上）；且任职期间年度及任期考核均称职以上。</w:t>
            </w:r>
          </w:p>
        </w:tc>
        <w:tc>
          <w:tcPr>
            <w:tcW w:w="465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协助主任负责法律事务部工作</w:t>
            </w:r>
            <w:r>
              <w:rPr>
                <w:rFonts w:ascii="宋体" w:hAnsi="Times New Roman" w:hint="eastAsia"/>
                <w:w w:val="80"/>
                <w:sz w:val="24"/>
                <w:szCs w:val="24"/>
              </w:rPr>
              <w:t>：</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 xml:space="preserve">1.协助主任拟定集团公司法律管理类制度； </w:t>
            </w:r>
          </w:p>
          <w:p w:rsidR="00CC3522" w:rsidRPr="00693FA1" w:rsidRDefault="00CC3522" w:rsidP="00427ED1">
            <w:pPr>
              <w:tabs>
                <w:tab w:val="left" w:pos="0"/>
              </w:tabs>
              <w:snapToGrid w:val="0"/>
              <w:spacing w:line="295" w:lineRule="auto"/>
              <w:ind w:right="6"/>
              <w:rPr>
                <w:rFonts w:ascii="宋体" w:hAnsi="Times New Roman" w:hint="eastAsia"/>
                <w:w w:val="80"/>
                <w:sz w:val="24"/>
                <w:szCs w:val="24"/>
              </w:rPr>
            </w:pPr>
            <w:r w:rsidRPr="00693FA1">
              <w:rPr>
                <w:rFonts w:ascii="宋体" w:hAnsi="Times New Roman" w:hint="eastAsia"/>
                <w:w w:val="80"/>
                <w:sz w:val="24"/>
                <w:szCs w:val="24"/>
              </w:rPr>
              <w:t>2.协助主任负责集团公司法律风险防控工作和合同管理工作；</w:t>
            </w:r>
          </w:p>
          <w:p w:rsidR="00CC3522" w:rsidRPr="00693FA1" w:rsidRDefault="00CC3522" w:rsidP="00427ED1">
            <w:pPr>
              <w:tabs>
                <w:tab w:val="left" w:pos="0"/>
              </w:tabs>
              <w:snapToGrid w:val="0"/>
              <w:spacing w:line="295" w:lineRule="auto"/>
              <w:ind w:right="6"/>
              <w:rPr>
                <w:rFonts w:ascii="宋体" w:hAnsi="Times New Roman" w:hint="eastAsia"/>
                <w:w w:val="80"/>
                <w:sz w:val="24"/>
                <w:szCs w:val="24"/>
              </w:rPr>
            </w:pPr>
            <w:r w:rsidRPr="00693FA1">
              <w:rPr>
                <w:rFonts w:ascii="宋体" w:hAnsi="Times New Roman" w:hint="eastAsia"/>
                <w:w w:val="80"/>
                <w:sz w:val="24"/>
                <w:szCs w:val="24"/>
              </w:rPr>
              <w:t xml:space="preserve"> 3.负责集团公司重大决策事项、重要合同和规章制度的法律审核；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4.负责集团公司诉讼、仲裁等经济纠纷管理，负责指导、协调和监督成员单位诉讼、仲裁等经济纠纷；</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5.负责对上级机关、总部各部门及成员单位相关法律事务的协调与管理；</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6.负责集团公司外聘律师管理；</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7.负责部门年/季/月度工作计划和绩效考核；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6B033C">
              <w:rPr>
                <w:rFonts w:ascii="宋体" w:hAnsi="Times New Roman" w:hint="eastAsia"/>
                <w:w w:val="80"/>
                <w:sz w:val="24"/>
                <w:szCs w:val="24"/>
              </w:rPr>
              <w:t>8.其他临时交办的任务。</w:t>
            </w: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Pr="00847BE1" w:rsidRDefault="00CC3522" w:rsidP="00427ED1">
            <w:pPr>
              <w:tabs>
                <w:tab w:val="left" w:pos="0"/>
              </w:tabs>
              <w:snapToGrid w:val="0"/>
              <w:spacing w:line="295" w:lineRule="auto"/>
              <w:ind w:right="6"/>
              <w:rPr>
                <w:rFonts w:ascii="宋体" w:hAnsi="Times New Roman"/>
                <w:w w:val="80"/>
                <w:sz w:val="24"/>
                <w:szCs w:val="24"/>
              </w:rPr>
            </w:pP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b/>
                <w:w w:val="80"/>
                <w:sz w:val="24"/>
                <w:szCs w:val="24"/>
              </w:rPr>
            </w:pPr>
            <w:r>
              <w:rPr>
                <w:rFonts w:ascii="宋体" w:hAnsi="Times New Roman" w:hint="eastAsia"/>
                <w:b/>
                <w:w w:val="80"/>
                <w:sz w:val="24"/>
                <w:szCs w:val="24"/>
              </w:rPr>
              <w:t>1人</w:t>
            </w:r>
          </w:p>
        </w:tc>
      </w:tr>
      <w:tr w:rsidR="00CC3522" w:rsidTr="00427ED1">
        <w:trPr>
          <w:trHeight w:val="143"/>
        </w:trPr>
        <w:tc>
          <w:tcPr>
            <w:tcW w:w="488"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法律事务部综合管理处</w:t>
            </w:r>
          </w:p>
        </w:tc>
        <w:tc>
          <w:tcPr>
            <w:tcW w:w="567" w:type="dxa"/>
            <w:vAlign w:val="center"/>
          </w:tcPr>
          <w:p w:rsidR="00CC3522" w:rsidRPr="0022468C"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处长</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本科及以上学历</w:t>
            </w: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22468C">
              <w:rPr>
                <w:rFonts w:ascii="宋体" w:hAnsi="Times New Roman" w:hint="eastAsia"/>
                <w:w w:val="80"/>
                <w:sz w:val="24"/>
                <w:szCs w:val="24"/>
              </w:rPr>
              <w:t>40周岁以下，特别优秀可放宽到45周岁</w:t>
            </w: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22468C">
              <w:rPr>
                <w:rFonts w:ascii="宋体" w:hAnsi="Times New Roman" w:hint="eastAsia"/>
                <w:w w:val="80"/>
                <w:sz w:val="24"/>
                <w:szCs w:val="24"/>
              </w:rPr>
              <w:t>法律类相关专业</w:t>
            </w:r>
          </w:p>
        </w:tc>
        <w:tc>
          <w:tcPr>
            <w:tcW w:w="548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Pr>
                <w:rFonts w:hint="eastAsia"/>
              </w:rPr>
              <w:t xml:space="preserve"> </w:t>
            </w:r>
            <w:r w:rsidRPr="0022468C">
              <w:rPr>
                <w:rFonts w:ascii="宋体" w:hAnsi="Times New Roman" w:hint="eastAsia"/>
                <w:w w:val="80"/>
                <w:sz w:val="24"/>
                <w:szCs w:val="24"/>
              </w:rPr>
              <w:t>具有律师或司考或法律顾问资格。律师或司考等职业资格者优先考虑，国际经济法类专业优先。</w:t>
            </w:r>
          </w:p>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w:t>
            </w:r>
            <w:r>
              <w:rPr>
                <w:rFonts w:hint="eastAsia"/>
              </w:rPr>
              <w:t xml:space="preserve"> </w:t>
            </w:r>
            <w:r w:rsidRPr="0022468C">
              <w:rPr>
                <w:rFonts w:ascii="宋体" w:hAnsi="Times New Roman" w:hint="eastAsia"/>
                <w:w w:val="80"/>
                <w:sz w:val="24"/>
                <w:szCs w:val="24"/>
              </w:rPr>
              <w:t>具有较强的组织协调、沟通、分析与解决问题的能力。英语能够作为工作语言。具有8年以上工作经验,5年以上法律管理等相关工作经验。</w:t>
            </w:r>
          </w:p>
          <w:p w:rsidR="00CC3522" w:rsidRPr="00367F3B" w:rsidRDefault="00CC3522"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3.</w:t>
            </w:r>
            <w:r>
              <w:rPr>
                <w:rFonts w:hint="eastAsia"/>
              </w:rPr>
              <w:t xml:space="preserve"> </w:t>
            </w:r>
            <w:r w:rsidRPr="0022468C">
              <w:rPr>
                <w:rFonts w:ascii="宋体" w:hAnsi="Times New Roman" w:hint="eastAsia"/>
                <w:w w:val="80"/>
                <w:sz w:val="24"/>
                <w:szCs w:val="24"/>
              </w:rPr>
              <w:t>任成员单位或外部单位具有法律管理类处室处长（正处级，分管法律）或者副处长</w:t>
            </w:r>
            <w:r>
              <w:rPr>
                <w:rFonts w:ascii="宋体" w:hAnsi="Times New Roman" w:hint="eastAsia"/>
                <w:w w:val="80"/>
                <w:sz w:val="24"/>
                <w:szCs w:val="24"/>
              </w:rPr>
              <w:t>2</w:t>
            </w:r>
            <w:r w:rsidRPr="0022468C">
              <w:rPr>
                <w:rFonts w:ascii="宋体" w:hAnsi="Times New Roman" w:hint="eastAsia"/>
                <w:w w:val="80"/>
                <w:sz w:val="24"/>
                <w:szCs w:val="24"/>
              </w:rPr>
              <w:t>年以上；且任职期间年度及任期考核均称职以上。</w:t>
            </w:r>
          </w:p>
        </w:tc>
        <w:tc>
          <w:tcPr>
            <w:tcW w:w="465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负责综合管理处全面工作</w:t>
            </w:r>
            <w:r>
              <w:rPr>
                <w:rFonts w:ascii="宋体" w:hAnsi="Times New Roman" w:hint="eastAsia"/>
                <w:w w:val="80"/>
                <w:sz w:val="24"/>
                <w:szCs w:val="24"/>
              </w:rPr>
              <w:t>：</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 xml:space="preserve">1.拟定集团公司法律管理类制度，拟定部门工作相关规范； </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2.负责制订集团公司法律风险防控工作规划和法律工作年度计划；</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3.负责指导和监督成员单位法律风险防控工作；</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4.负责集团公司重大决策事项和规章制度的法律审核；5.负责集团公司诉讼、仲裁等经济纠纷管理，负责指导、协调和监督成员单位诉讼、仲裁等经济纠纷；</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6.负责对上级机关、总部各部门及成员单位相关法律事务的协调与管理；</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7.负责集团公司外聘律师管理；</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8.制订并组织实施部门年/季/</w:t>
            </w:r>
            <w:r>
              <w:rPr>
                <w:rFonts w:ascii="宋体" w:hAnsi="Times New Roman" w:hint="eastAsia"/>
                <w:w w:val="80"/>
                <w:sz w:val="24"/>
                <w:szCs w:val="24"/>
              </w:rPr>
              <w:t>月度工作计划和绩效考核;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9.其他临时交办的任务。</w:t>
            </w: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w w:val="80"/>
                <w:sz w:val="24"/>
                <w:szCs w:val="24"/>
              </w:rPr>
            </w:pP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b/>
                <w:w w:val="80"/>
                <w:sz w:val="24"/>
                <w:szCs w:val="24"/>
              </w:rPr>
            </w:pPr>
            <w:r>
              <w:rPr>
                <w:rFonts w:ascii="宋体" w:hAnsi="Times New Roman" w:hint="eastAsia"/>
                <w:b/>
                <w:w w:val="80"/>
                <w:sz w:val="24"/>
                <w:szCs w:val="24"/>
              </w:rPr>
              <w:t>1人</w:t>
            </w:r>
          </w:p>
        </w:tc>
      </w:tr>
      <w:tr w:rsidR="00CC3522" w:rsidTr="00427ED1">
        <w:trPr>
          <w:trHeight w:val="143"/>
        </w:trPr>
        <w:tc>
          <w:tcPr>
            <w:tcW w:w="488"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法律事务部综合管理处</w:t>
            </w:r>
          </w:p>
        </w:tc>
        <w:tc>
          <w:tcPr>
            <w:tcW w:w="567" w:type="dxa"/>
            <w:vAlign w:val="center"/>
          </w:tcPr>
          <w:p w:rsidR="00CC3522" w:rsidRPr="0022468C" w:rsidRDefault="00CC3522" w:rsidP="00427ED1">
            <w:pPr>
              <w:tabs>
                <w:tab w:val="left" w:pos="0"/>
              </w:tabs>
              <w:snapToGrid w:val="0"/>
              <w:spacing w:line="295" w:lineRule="auto"/>
              <w:ind w:right="6"/>
              <w:jc w:val="center"/>
              <w:rPr>
                <w:rFonts w:ascii="宋体" w:hAnsi="Times New Roman" w:hint="eastAsia"/>
                <w:w w:val="80"/>
                <w:sz w:val="24"/>
                <w:szCs w:val="24"/>
              </w:rPr>
            </w:pPr>
            <w:r>
              <w:rPr>
                <w:rFonts w:ascii="宋体" w:hAnsi="Times New Roman" w:hint="eastAsia"/>
                <w:w w:val="80"/>
                <w:sz w:val="24"/>
                <w:szCs w:val="24"/>
              </w:rPr>
              <w:t>副处长</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本科及以上学历</w:t>
            </w: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22468C">
              <w:rPr>
                <w:rFonts w:ascii="宋体" w:hAnsi="Times New Roman" w:hint="eastAsia"/>
                <w:w w:val="80"/>
                <w:sz w:val="24"/>
                <w:szCs w:val="24"/>
              </w:rPr>
              <w:t>40周岁以下</w:t>
            </w: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22468C">
              <w:rPr>
                <w:rFonts w:ascii="宋体" w:hAnsi="Times New Roman" w:hint="eastAsia"/>
                <w:w w:val="80"/>
                <w:sz w:val="24"/>
                <w:szCs w:val="24"/>
              </w:rPr>
              <w:t>法律类相关专业</w:t>
            </w:r>
          </w:p>
        </w:tc>
        <w:tc>
          <w:tcPr>
            <w:tcW w:w="548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Pr>
                <w:rFonts w:hint="eastAsia"/>
              </w:rPr>
              <w:t xml:space="preserve"> </w:t>
            </w:r>
            <w:r w:rsidRPr="0022468C">
              <w:rPr>
                <w:rFonts w:ascii="宋体" w:hAnsi="Times New Roman" w:hint="eastAsia"/>
                <w:w w:val="80"/>
                <w:sz w:val="24"/>
                <w:szCs w:val="24"/>
              </w:rPr>
              <w:t>具有律师或司考或法律顾问资格。律师或司考等职业资格者优先考虑。</w:t>
            </w:r>
          </w:p>
          <w:p w:rsidR="00CC3522" w:rsidRPr="0022468C" w:rsidRDefault="00CC3522"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2.</w:t>
            </w:r>
            <w:r>
              <w:rPr>
                <w:rFonts w:hint="eastAsia"/>
              </w:rPr>
              <w:t xml:space="preserve"> </w:t>
            </w:r>
            <w:r w:rsidRPr="0022468C">
              <w:rPr>
                <w:rFonts w:ascii="宋体" w:hAnsi="Times New Roman" w:hint="eastAsia"/>
                <w:w w:val="80"/>
                <w:sz w:val="24"/>
                <w:szCs w:val="24"/>
              </w:rPr>
              <w:t>具有较强的组织协调、沟通、分析与解决问题的能力。英语能够作为工作语言。具有5年以上法律工作经验。</w:t>
            </w:r>
          </w:p>
        </w:tc>
        <w:tc>
          <w:tcPr>
            <w:tcW w:w="465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1.协助处长拟定集团公司法律管理类制度，拟定部门工作相关规范；</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 xml:space="preserve"> 2. 协助处长负责制订集团公司法律风险防控工作规划和法律工作年度计划；</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3. 协助处长负责指导和监督成员单位法律风险防控工作；</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4. 协助处长负责集团公司重大决策事项和规章制度的法律审核；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5. 协助处长负责集团公司诉讼、仲裁等经济纠纷管理，负责指导、协调和监督成员单位诉讼、仲裁等经济纠纷；6.负责集团公司日常管理的法律咨询；</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7. 协助处长制订并组织实施部门年/季/</w:t>
            </w:r>
            <w:r>
              <w:rPr>
                <w:rFonts w:ascii="宋体" w:hAnsi="Times New Roman" w:hint="eastAsia"/>
                <w:w w:val="80"/>
                <w:sz w:val="24"/>
                <w:szCs w:val="24"/>
              </w:rPr>
              <w:t>月度工作计划和绩效考核;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22468C">
              <w:rPr>
                <w:rFonts w:ascii="宋体" w:hAnsi="Times New Roman" w:hint="eastAsia"/>
                <w:w w:val="80"/>
                <w:sz w:val="24"/>
                <w:szCs w:val="24"/>
              </w:rPr>
              <w:t>8.其他临时交办的任务。</w:t>
            </w: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Pr="0092227D" w:rsidRDefault="00CC3522" w:rsidP="00427ED1">
            <w:pPr>
              <w:tabs>
                <w:tab w:val="left" w:pos="0"/>
              </w:tabs>
              <w:snapToGrid w:val="0"/>
              <w:spacing w:line="295" w:lineRule="auto"/>
              <w:ind w:right="6"/>
              <w:rPr>
                <w:rFonts w:ascii="宋体" w:hAnsi="Times New Roman"/>
                <w:w w:val="80"/>
                <w:sz w:val="24"/>
                <w:szCs w:val="24"/>
              </w:rPr>
            </w:pP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b/>
                <w:w w:val="80"/>
                <w:sz w:val="24"/>
                <w:szCs w:val="24"/>
              </w:rPr>
            </w:pPr>
            <w:r>
              <w:rPr>
                <w:rFonts w:ascii="宋体" w:hAnsi="Times New Roman" w:hint="eastAsia"/>
                <w:b/>
                <w:w w:val="80"/>
                <w:sz w:val="24"/>
                <w:szCs w:val="24"/>
              </w:rPr>
              <w:t>1人</w:t>
            </w:r>
          </w:p>
        </w:tc>
      </w:tr>
      <w:tr w:rsidR="00CC3522" w:rsidTr="00427ED1">
        <w:trPr>
          <w:trHeight w:val="143"/>
        </w:trPr>
        <w:tc>
          <w:tcPr>
            <w:tcW w:w="488"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法律事务部合同管理处</w:t>
            </w:r>
          </w:p>
        </w:tc>
        <w:tc>
          <w:tcPr>
            <w:tcW w:w="567" w:type="dxa"/>
            <w:vAlign w:val="center"/>
          </w:tcPr>
          <w:p w:rsidR="00CC3522" w:rsidRPr="003C39A8" w:rsidRDefault="00CC3522" w:rsidP="00427ED1">
            <w:pPr>
              <w:tabs>
                <w:tab w:val="left" w:pos="0"/>
              </w:tabs>
              <w:snapToGrid w:val="0"/>
              <w:spacing w:line="295" w:lineRule="auto"/>
              <w:ind w:right="6"/>
              <w:jc w:val="center"/>
              <w:rPr>
                <w:rFonts w:ascii="宋体" w:hAnsi="Times New Roman"/>
                <w:w w:val="80"/>
                <w:sz w:val="24"/>
                <w:szCs w:val="24"/>
              </w:rPr>
            </w:pPr>
            <w:r>
              <w:rPr>
                <w:rFonts w:ascii="宋体" w:hAnsi="Times New Roman" w:hint="eastAsia"/>
                <w:w w:val="80"/>
                <w:sz w:val="24"/>
                <w:szCs w:val="24"/>
              </w:rPr>
              <w:t>工作人员</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6B033C">
              <w:rPr>
                <w:rFonts w:ascii="宋体" w:hAnsi="Times New Roman" w:hint="eastAsia"/>
                <w:w w:val="80"/>
                <w:sz w:val="24"/>
                <w:szCs w:val="24"/>
              </w:rPr>
              <w:t>本科及以上学历</w:t>
            </w: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3C39A8">
              <w:rPr>
                <w:rFonts w:ascii="宋体" w:hAnsi="Times New Roman" w:hint="eastAsia"/>
                <w:w w:val="80"/>
                <w:sz w:val="24"/>
                <w:szCs w:val="24"/>
              </w:rPr>
              <w:t>35周岁以下</w:t>
            </w: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r w:rsidRPr="003C39A8">
              <w:rPr>
                <w:rFonts w:ascii="宋体" w:hAnsi="Times New Roman" w:hint="eastAsia"/>
                <w:w w:val="80"/>
                <w:sz w:val="24"/>
                <w:szCs w:val="24"/>
              </w:rPr>
              <w:t>法律类相关专业</w:t>
            </w:r>
          </w:p>
        </w:tc>
        <w:tc>
          <w:tcPr>
            <w:tcW w:w="548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1.</w:t>
            </w:r>
            <w:r>
              <w:rPr>
                <w:rFonts w:hint="eastAsia"/>
              </w:rPr>
              <w:t xml:space="preserve"> </w:t>
            </w:r>
            <w:r w:rsidRPr="003C39A8">
              <w:rPr>
                <w:rFonts w:ascii="宋体" w:hAnsi="Times New Roman" w:hint="eastAsia"/>
                <w:w w:val="80"/>
                <w:sz w:val="24"/>
                <w:szCs w:val="24"/>
              </w:rPr>
              <w:t>具有律师或司考资格。</w:t>
            </w:r>
          </w:p>
          <w:p w:rsidR="00CC3522" w:rsidRDefault="00CC3522" w:rsidP="00427ED1">
            <w:pPr>
              <w:tabs>
                <w:tab w:val="left" w:pos="0"/>
              </w:tabs>
              <w:snapToGrid w:val="0"/>
              <w:spacing w:line="295" w:lineRule="auto"/>
              <w:ind w:right="6"/>
              <w:rPr>
                <w:rFonts w:ascii="宋体" w:hAnsi="Times New Roman" w:hint="eastAsia"/>
                <w:w w:val="80"/>
                <w:sz w:val="24"/>
                <w:szCs w:val="24"/>
              </w:rPr>
            </w:pPr>
            <w:r>
              <w:rPr>
                <w:rFonts w:ascii="宋体" w:hAnsi="Times New Roman" w:hint="eastAsia"/>
                <w:w w:val="80"/>
                <w:sz w:val="24"/>
                <w:szCs w:val="24"/>
              </w:rPr>
              <w:t>2.</w:t>
            </w:r>
            <w:r>
              <w:rPr>
                <w:rFonts w:hint="eastAsia"/>
              </w:rPr>
              <w:t xml:space="preserve"> </w:t>
            </w:r>
            <w:r w:rsidRPr="003C39A8">
              <w:rPr>
                <w:rFonts w:ascii="宋体" w:hAnsi="Times New Roman" w:hint="eastAsia"/>
                <w:w w:val="80"/>
                <w:sz w:val="24"/>
                <w:szCs w:val="24"/>
              </w:rPr>
              <w:t>能将英语作为工作语言。具有3年以上律师或法律顾问工作经验。</w:t>
            </w:r>
          </w:p>
          <w:p w:rsidR="00CC3522" w:rsidRPr="00D04357" w:rsidRDefault="00CC3522"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3.</w:t>
            </w:r>
            <w:r>
              <w:rPr>
                <w:rFonts w:hint="eastAsia"/>
              </w:rPr>
              <w:t xml:space="preserve"> </w:t>
            </w:r>
            <w:r w:rsidRPr="003C39A8">
              <w:rPr>
                <w:rFonts w:ascii="宋体" w:hAnsi="Times New Roman" w:hint="eastAsia"/>
                <w:w w:val="80"/>
                <w:sz w:val="24"/>
                <w:szCs w:val="24"/>
              </w:rPr>
              <w:t>具有大型企业或律师事务所国际法律业务工作经验者优先。</w:t>
            </w:r>
          </w:p>
        </w:tc>
        <w:tc>
          <w:tcPr>
            <w:tcW w:w="4659" w:type="dxa"/>
            <w:vAlign w:val="center"/>
          </w:tcPr>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1.协助处长拟定集团公司合同管理类制度；</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2. 协助负责集团公司合同的法律审核；</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3.负责集团公司总部合同的日常管理（合同专用章管理、合同文本保管、合同统计、分析及监督）；</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4.参与集团公司重大经济活动，包括尽职调查、法律文件起草、商务谈判等；</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5.协助负责指导和监督成员单位合同管理工作；</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6.负责集团公司日常管理的法律咨询；</w:t>
            </w:r>
          </w:p>
          <w:p w:rsidR="00CC3522" w:rsidRDefault="00CC3522" w:rsidP="00427ED1">
            <w:pPr>
              <w:tabs>
                <w:tab w:val="left" w:pos="0"/>
              </w:tabs>
              <w:snapToGrid w:val="0"/>
              <w:spacing w:line="295" w:lineRule="auto"/>
              <w:ind w:right="6"/>
              <w:rPr>
                <w:rFonts w:ascii="宋体" w:hAnsi="Times New Roman" w:hint="eastAsia"/>
                <w:w w:val="80"/>
                <w:sz w:val="24"/>
                <w:szCs w:val="24"/>
              </w:rPr>
            </w:pPr>
            <w:r w:rsidRPr="003C39A8">
              <w:rPr>
                <w:rFonts w:ascii="宋体" w:hAnsi="Times New Roman" w:hint="eastAsia"/>
                <w:w w:val="80"/>
                <w:sz w:val="24"/>
                <w:szCs w:val="24"/>
              </w:rPr>
              <w:t>7.其他临时交办的任务。</w:t>
            </w:r>
          </w:p>
          <w:p w:rsidR="00CC3522" w:rsidRDefault="00CC3522" w:rsidP="00427ED1">
            <w:pPr>
              <w:tabs>
                <w:tab w:val="left" w:pos="0"/>
              </w:tabs>
              <w:snapToGrid w:val="0"/>
              <w:spacing w:line="295" w:lineRule="auto"/>
              <w:ind w:right="6"/>
              <w:rPr>
                <w:rFonts w:ascii="宋体" w:hAnsi="Times New Roman" w:hint="eastAsia"/>
                <w:w w:val="80"/>
                <w:sz w:val="24"/>
                <w:szCs w:val="24"/>
              </w:rPr>
            </w:pPr>
          </w:p>
          <w:p w:rsidR="00CC3522" w:rsidRDefault="00CC3522" w:rsidP="00427ED1">
            <w:pPr>
              <w:tabs>
                <w:tab w:val="left" w:pos="0"/>
              </w:tabs>
              <w:snapToGrid w:val="0"/>
              <w:spacing w:line="295" w:lineRule="auto"/>
              <w:ind w:right="6"/>
              <w:rPr>
                <w:rFonts w:ascii="宋体" w:hAnsi="Times New Roman"/>
                <w:w w:val="80"/>
                <w:sz w:val="24"/>
                <w:szCs w:val="24"/>
              </w:rPr>
            </w:pP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b/>
                <w:w w:val="80"/>
                <w:sz w:val="24"/>
                <w:szCs w:val="24"/>
              </w:rPr>
            </w:pPr>
            <w:r>
              <w:rPr>
                <w:rFonts w:ascii="宋体" w:hAnsi="Times New Roman"/>
                <w:b/>
                <w:w w:val="80"/>
                <w:sz w:val="24"/>
                <w:szCs w:val="24"/>
              </w:rPr>
              <w:t>1</w:t>
            </w:r>
            <w:r>
              <w:rPr>
                <w:rFonts w:ascii="宋体" w:hAnsi="Times New Roman" w:hint="eastAsia"/>
                <w:b/>
                <w:w w:val="80"/>
                <w:sz w:val="24"/>
                <w:szCs w:val="24"/>
              </w:rPr>
              <w:t>人</w:t>
            </w:r>
          </w:p>
        </w:tc>
      </w:tr>
      <w:tr w:rsidR="00CC3522" w:rsidTr="00427ED1">
        <w:trPr>
          <w:trHeight w:val="388"/>
        </w:trPr>
        <w:tc>
          <w:tcPr>
            <w:tcW w:w="488"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r>
              <w:rPr>
                <w:rFonts w:ascii="宋体" w:hAnsi="Times New Roman" w:hint="eastAsia"/>
                <w:w w:val="80"/>
                <w:sz w:val="24"/>
                <w:szCs w:val="24"/>
              </w:rPr>
              <w:t>合计</w:t>
            </w: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p>
        </w:tc>
        <w:tc>
          <w:tcPr>
            <w:tcW w:w="567"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p>
        </w:tc>
        <w:tc>
          <w:tcPr>
            <w:tcW w:w="850"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p>
        </w:tc>
        <w:tc>
          <w:tcPr>
            <w:tcW w:w="851" w:type="dxa"/>
            <w:vAlign w:val="center"/>
          </w:tcPr>
          <w:p w:rsidR="00CC3522" w:rsidRDefault="00CC3522" w:rsidP="00427ED1">
            <w:pPr>
              <w:tabs>
                <w:tab w:val="left" w:pos="0"/>
              </w:tabs>
              <w:snapToGrid w:val="0"/>
              <w:spacing w:line="295" w:lineRule="auto"/>
              <w:ind w:right="6"/>
              <w:jc w:val="center"/>
              <w:rPr>
                <w:rFonts w:ascii="宋体" w:hAnsi="Times New Roman"/>
                <w:w w:val="80"/>
                <w:sz w:val="24"/>
                <w:szCs w:val="24"/>
              </w:rPr>
            </w:pPr>
          </w:p>
        </w:tc>
        <w:tc>
          <w:tcPr>
            <w:tcW w:w="5489"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p>
        </w:tc>
        <w:tc>
          <w:tcPr>
            <w:tcW w:w="4659" w:type="dxa"/>
            <w:vAlign w:val="center"/>
          </w:tcPr>
          <w:p w:rsidR="00CC3522" w:rsidRDefault="00CC3522" w:rsidP="00427ED1">
            <w:pPr>
              <w:tabs>
                <w:tab w:val="left" w:pos="0"/>
              </w:tabs>
              <w:snapToGrid w:val="0"/>
              <w:spacing w:line="295" w:lineRule="auto"/>
              <w:ind w:right="6"/>
              <w:rPr>
                <w:rFonts w:ascii="宋体" w:hAnsi="Times New Roman"/>
                <w:w w:val="80"/>
                <w:sz w:val="24"/>
                <w:szCs w:val="24"/>
              </w:rPr>
            </w:pPr>
          </w:p>
        </w:tc>
        <w:tc>
          <w:tcPr>
            <w:tcW w:w="483" w:type="dxa"/>
            <w:vAlign w:val="center"/>
          </w:tcPr>
          <w:p w:rsidR="00CC3522" w:rsidRDefault="00CC3522" w:rsidP="00427ED1">
            <w:pPr>
              <w:tabs>
                <w:tab w:val="left" w:pos="0"/>
              </w:tabs>
              <w:snapToGrid w:val="0"/>
              <w:spacing w:line="295" w:lineRule="auto"/>
              <w:ind w:right="6"/>
              <w:jc w:val="center"/>
              <w:rPr>
                <w:rFonts w:ascii="宋体" w:hAnsi="Times New Roman"/>
                <w:b/>
                <w:w w:val="80"/>
                <w:sz w:val="24"/>
                <w:szCs w:val="24"/>
              </w:rPr>
            </w:pPr>
            <w:r>
              <w:rPr>
                <w:rFonts w:ascii="宋体" w:hAnsi="Times New Roman" w:hint="eastAsia"/>
                <w:b/>
                <w:w w:val="80"/>
                <w:sz w:val="24"/>
                <w:szCs w:val="24"/>
              </w:rPr>
              <w:t>4人</w:t>
            </w:r>
          </w:p>
        </w:tc>
      </w:tr>
    </w:tbl>
    <w:p w:rsidR="00CC3522" w:rsidRDefault="00CC3522" w:rsidP="00CC3522">
      <w:pPr>
        <w:rPr>
          <w:rFonts w:ascii="仿宋_GB2312" w:eastAsia="仿宋_GB2312" w:hAnsi="Times New Roman"/>
          <w:sz w:val="32"/>
          <w:szCs w:val="32"/>
        </w:rPr>
      </w:pPr>
    </w:p>
    <w:p w:rsidR="005B424C" w:rsidRDefault="005B424C"/>
    <w:sectPr w:rsidR="005B424C">
      <w:footerReference w:type="even" r:id="rId4"/>
      <w:footerReference w:type="default" r:id="rId5"/>
      <w:pgSz w:w="16838" w:h="11906" w:orient="landscape"/>
      <w:pgMar w:top="1800" w:right="1440" w:bottom="1800"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7E" w:rsidRDefault="00CC3522" w:rsidP="00185AB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B087E" w:rsidRDefault="00CC352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7E" w:rsidRDefault="00CC3522" w:rsidP="00185AB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5B087E" w:rsidRDefault="00CC3522">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3522"/>
    <w:rsid w:val="005B424C"/>
    <w:rsid w:val="00CC3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locked/>
    <w:rsid w:val="00CC3522"/>
    <w:rPr>
      <w:rFonts w:cs="Times New Roman"/>
      <w:sz w:val="18"/>
      <w:szCs w:val="18"/>
    </w:rPr>
  </w:style>
  <w:style w:type="paragraph" w:styleId="a3">
    <w:name w:val="footer"/>
    <w:basedOn w:val="a"/>
    <w:link w:val="Char"/>
    <w:uiPriority w:val="99"/>
    <w:rsid w:val="00CC3522"/>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link w:val="a3"/>
    <w:uiPriority w:val="99"/>
    <w:semiHidden/>
    <w:rsid w:val="00CC3522"/>
    <w:rPr>
      <w:rFonts w:ascii="Calibri" w:eastAsia="宋体" w:hAnsi="Calibri" w:cs="Times New Roman"/>
      <w:sz w:val="18"/>
      <w:szCs w:val="18"/>
    </w:rPr>
  </w:style>
  <w:style w:type="character" w:styleId="a4">
    <w:name w:val="page number"/>
    <w:basedOn w:val="a0"/>
    <w:rsid w:val="00CC35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259</Words>
  <Characters>1477</Characters>
  <Application>Microsoft Office Word</Application>
  <DocSecurity>0</DocSecurity>
  <Lines>12</Lines>
  <Paragraphs>3</Paragraphs>
  <ScaleCrop>false</ScaleCrop>
  <Company>微软中国</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2015-09-22T05:32:00Z</dcterms:created>
  <dcterms:modified xsi:type="dcterms:W3CDTF">2015-09-22T05:33:00Z</dcterms:modified>
</cp:coreProperties>
</file>