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D9" w:rsidRPr="002A35D9" w:rsidRDefault="002A35D9" w:rsidP="002A35D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"/>
        <w:gridCol w:w="1080"/>
        <w:gridCol w:w="1800"/>
        <w:gridCol w:w="3420"/>
        <w:gridCol w:w="1440"/>
      </w:tblGrid>
      <w:tr w:rsidR="002A35D9" w:rsidRPr="002A35D9" w:rsidTr="002A35D9">
        <w:trPr>
          <w:trHeight w:val="578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岗位数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学历学位 要求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从事岗位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2A35D9" w:rsidRPr="002A35D9" w:rsidTr="002A35D9">
        <w:trPr>
          <w:trHeight w:val="970"/>
        </w:trPr>
        <w:tc>
          <w:tcPr>
            <w:tcW w:w="91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从事汽车齿轮、汽车门锁及车门保持件、链条、轮毂（摩托车轮毂、汽车铝合金轮毂、电动车车轮）、汽车内饰件、燃油箱、座椅及座椅头枕、</w:t>
            </w: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TW"/>
              </w:rPr>
              <w:t>离合器面片</w:t>
            </w: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、安全带等机动车零部件检测及其可靠性测试和失效分析。能熟练操作和使用齿轮测量仪、轮毂等零部件检测仪器设备。</w:t>
            </w:r>
          </w:p>
        </w:tc>
        <w:tc>
          <w:tcPr>
            <w:tcW w:w="144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1、全日制普通高校毕业生，35周岁以下。2、第一学历（大学本科）必须为全日制普通高校、专业须与上述引进专业一致或相关。3、具有本专业高级工程师以上职称者年龄可放宽到40周岁。</w:t>
            </w:r>
          </w:p>
          <w:p w:rsidR="002A35D9" w:rsidRPr="002A35D9" w:rsidRDefault="002A35D9" w:rsidP="002A35D9">
            <w:pPr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2A35D9" w:rsidRPr="002A35D9" w:rsidTr="002A35D9">
        <w:trPr>
          <w:trHeight w:val="1111"/>
        </w:trPr>
        <w:tc>
          <w:tcPr>
            <w:tcW w:w="91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光学类专业（光学工程、光电信息工程、光学仪器、光电子科学与仪器等）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动车车灯、车身反光标识、外部照明及光信号装置、回复反射器、节能卤素灯、LED、节能灯、荧光灯、白炽灯、管型灯、HID灯等产品的检测，能熟练操作和使用分布光度计、光生物辐射安全、荧光粉量子效率等车灯及民用灯具测试仪器。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A35D9" w:rsidRPr="002A35D9" w:rsidTr="002A35D9">
        <w:trPr>
          <w:trHeight w:val="1896"/>
        </w:trPr>
        <w:tc>
          <w:tcPr>
            <w:tcW w:w="91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88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化学分析、应用化学、材料物理化学分析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汽车内饰件、材料中有毒有害物质（铅、汞、镉、六价铬、多溴联苯（</w:t>
            </w:r>
            <w:proofErr w:type="spellStart"/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PBBs</w:t>
            </w:r>
            <w:proofErr w:type="spellEnd"/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）、多溴联苯醚（</w:t>
            </w:r>
            <w:proofErr w:type="spellStart"/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PBDEs</w:t>
            </w:r>
            <w:proofErr w:type="spellEnd"/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）、TVOC及车内空气质量等，能熟练操作和使用气质联谱、ICP-MS、ICP-OES、气相液相色谱仪、原子吸收光谱仪等测试仪器。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A35D9" w:rsidRPr="002A35D9" w:rsidTr="002A35D9">
        <w:trPr>
          <w:trHeight w:val="1111"/>
        </w:trPr>
        <w:tc>
          <w:tcPr>
            <w:tcW w:w="91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324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88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精密测量、精密仪器及机械、测试计量技术及仪器、控制工程、测控技术与仪器及相关专业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产品几何量技术规范(GPS) 形状和位置公差、（GPS）光滑工件尺寸的测量等，能熟练操作和使用三坐标测量仪、圆柱度仪、粗糙度轮廓测量仪等测试仪器。</w:t>
            </w:r>
          </w:p>
        </w:tc>
        <w:tc>
          <w:tcPr>
            <w:tcW w:w="14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5D9" w:rsidRPr="002A35D9" w:rsidRDefault="002A35D9" w:rsidP="002A35D9">
            <w:pPr>
              <w:adjustRightInd/>
              <w:snapToGrid/>
              <w:spacing w:after="0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A35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1、全日制普通高校毕业生，35周岁以下。2、具有本专业高级工程师以上职称者年龄可放宽到40周岁。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69EF"/>
    <w:rsid w:val="002A35D9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2015-10-20T09:15:00Z</dcterms:modified>
</cp:coreProperties>
</file>