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59" w:rsidRPr="00B10D3F" w:rsidRDefault="00165B59" w:rsidP="00B10D3F">
      <w:pPr>
        <w:widowControl/>
        <w:shd w:val="clear" w:color="auto" w:fill="FFFFFF"/>
        <w:spacing w:line="196" w:lineRule="atLeast"/>
        <w:jc w:val="center"/>
        <w:rPr>
          <w:rFonts w:ascii="Helvetica" w:eastAsia="宋体" w:hAnsi="Helvetica" w:cs="宋体"/>
          <w:color w:val="444444"/>
          <w:kern w:val="0"/>
          <w:sz w:val="30"/>
          <w:szCs w:val="30"/>
        </w:rPr>
      </w:pPr>
      <w:r w:rsidRPr="00B10D3F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</w:rPr>
        <w:t>北京外国语大学</w:t>
      </w:r>
      <w:r w:rsidRPr="00B10D3F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</w:rPr>
        <w:t>2016</w:t>
      </w:r>
      <w:r w:rsidRPr="00B10D3F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</w:rPr>
        <w:t>年博士</w:t>
      </w:r>
      <w:r w:rsidR="00137CC6" w:rsidRPr="00B10D3F">
        <w:rPr>
          <w:rFonts w:ascii="Helvetica" w:eastAsia="宋体" w:hAnsi="Helvetica" w:cs="宋体" w:hint="eastAsia"/>
          <w:b/>
          <w:bCs/>
          <w:color w:val="333333"/>
          <w:kern w:val="0"/>
          <w:sz w:val="30"/>
          <w:szCs w:val="30"/>
        </w:rPr>
        <w:t>后</w:t>
      </w:r>
      <w:r w:rsidRPr="00B10D3F">
        <w:rPr>
          <w:rFonts w:ascii="Helvetica" w:eastAsia="宋体" w:hAnsi="Helvetica" w:cs="宋体"/>
          <w:b/>
          <w:bCs/>
          <w:color w:val="333333"/>
          <w:kern w:val="0"/>
          <w:sz w:val="30"/>
          <w:szCs w:val="30"/>
        </w:rPr>
        <w:t>招生专业目录</w:t>
      </w:r>
    </w:p>
    <w:tbl>
      <w:tblPr>
        <w:tblW w:w="519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4"/>
        <w:gridCol w:w="1635"/>
        <w:gridCol w:w="2976"/>
        <w:gridCol w:w="1276"/>
        <w:gridCol w:w="1701"/>
      </w:tblGrid>
      <w:tr w:rsidR="00B10D3F" w:rsidRPr="00B10D3F" w:rsidTr="00822994">
        <w:trPr>
          <w:trHeight w:val="618"/>
        </w:trPr>
        <w:tc>
          <w:tcPr>
            <w:tcW w:w="66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  <w:t>专业代码及名称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  <w:t>研究方向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  <w:t>研究领域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  <w:t>指导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B0437E" w:rsidRPr="00B10D3F" w:rsidRDefault="00143EDB" w:rsidP="001C0550">
            <w:pPr>
              <w:widowControl/>
              <w:spacing w:after="187" w:line="196" w:lineRule="atLeast"/>
              <w:rPr>
                <w:rFonts w:ascii="Helvetica" w:eastAsia="宋体" w:hAnsi="Helvetica" w:cs="宋体"/>
                <w:b/>
                <w:bCs/>
                <w:color w:val="333333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b/>
                <w:bCs/>
                <w:color w:val="333333"/>
                <w:kern w:val="0"/>
                <w:szCs w:val="21"/>
              </w:rPr>
              <w:t>院系（所）</w:t>
            </w:r>
            <w:r w:rsidR="001C0550" w:rsidRPr="00B10D3F">
              <w:rPr>
                <w:rFonts w:ascii="Helvetica" w:eastAsia="宋体" w:hAnsi="Helvetica" w:cs="宋体" w:hint="eastAsia"/>
                <w:b/>
                <w:bCs/>
                <w:color w:val="333333"/>
                <w:kern w:val="0"/>
                <w:szCs w:val="21"/>
              </w:rPr>
              <w:t>联系方式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C0550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英语学院）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英语国家文学研究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19-20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世纪英美诗歌研究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张剑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1C0550" w:rsidRPr="00B10D3F" w:rsidRDefault="001C0550" w:rsidP="001C0550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010-88817287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英国现代小说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/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西方文论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马海良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英语文学与跨文化研究</w:t>
            </w:r>
          </w:p>
        </w:tc>
        <w:tc>
          <w:tcPr>
            <w:tcW w:w="73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陶家俊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现当代西方批评理论</w:t>
            </w:r>
          </w:p>
        </w:tc>
        <w:tc>
          <w:tcPr>
            <w:tcW w:w="73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英语小说与叙事理论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王丽亚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美国小说研究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潘志明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奥斯汀小说研究</w:t>
            </w:r>
          </w:p>
        </w:tc>
        <w:tc>
          <w:tcPr>
            <w:tcW w:w="73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耿力平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芒罗小说研究</w:t>
            </w:r>
          </w:p>
        </w:tc>
        <w:tc>
          <w:tcPr>
            <w:tcW w:w="73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现代西方文论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赵国新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822994" w:rsidRPr="00B10D3F" w:rsidTr="00C81F15">
        <w:trPr>
          <w:trHeight w:val="717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22994" w:rsidRPr="00B10D3F" w:rsidRDefault="00822994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应用语言学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认知语言学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蓝纯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822994" w:rsidRPr="00B10D3F" w:rsidRDefault="00822994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英语国家研究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欧洲研究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王展鹏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美国政治研究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谢韬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美国研究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李莉文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C0550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俄语语言文学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俄语学院）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俄语语言学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语篇语言学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史铁强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1C0550" w:rsidRPr="00B10D3F" w:rsidRDefault="001C0550" w:rsidP="001C0550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010-88816296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语用语言学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武瑷华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俄罗斯文学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俄罗斯文学：文学修辞学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黄玫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俄罗斯文学：诗歌与小说研究，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文学比较研究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王立业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俄罗斯社会与文化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俄罗斯社会、文化及区域研究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C0550" w:rsidRPr="00B10D3F" w:rsidRDefault="001C0550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戴桂菊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0550" w:rsidRPr="00B10D3F" w:rsidRDefault="001C0550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C0550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法语语言文学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法语系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法国文学与文学比较研究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法国现当代文学作品研究、中法比较文学研究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车琳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B0437E" w:rsidRPr="00B10D3F" w:rsidRDefault="001C0550" w:rsidP="001C0550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010-88816305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C0550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德语语言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lastRenderedPageBreak/>
              <w:t>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德语系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lastRenderedPageBreak/>
              <w:t>德语文学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2A66C6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德语文学理论与文化学研究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lastRenderedPageBreak/>
              <w:t>（外国文学所）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lastRenderedPageBreak/>
              <w:t>王炳钧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2A66C6" w:rsidRPr="00B10D3F" w:rsidRDefault="002A66C6" w:rsidP="002A66C6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010-88816516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德语文学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任卫东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德语语言学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德语翻译学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王建斌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德语国家研究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跨文化交流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贾文键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德国外交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2A66C6" w:rsidRPr="00B10D3F" w:rsidRDefault="002A66C6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刘立群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2A66C6" w:rsidRPr="00B10D3F" w:rsidRDefault="002A66C6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日本语言文学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日语语言学研究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日语系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于日平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F154AE" w:rsidRPr="00B10D3F" w:rsidRDefault="00F154AE" w:rsidP="00F154AE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010-88816276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朱京伟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F154AE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日语语言学研究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日研中心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徐一平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F154AE" w:rsidRPr="00B10D3F" w:rsidRDefault="00F154AE" w:rsidP="00F154AE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010-88816584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施建军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2A66C6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日本文学与文化研究（日研中心）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日本文学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张龙妹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日本文化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郭连友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日本社会与经济研究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日本社会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（日研中心）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周维宏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日本社会文化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（日语系）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邵建国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阿拉伯语语言文学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阿拉伯学院）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阿拉伯语语言学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阿拉伯语语言与文化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周烈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F154AE" w:rsidRPr="00B10D3F" w:rsidRDefault="00F154AE" w:rsidP="00F154AE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010-88816327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阿拉伯文学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阿拉伯文学研究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薛庆国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阿拉伯社会文化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阿拉伯社会文化研究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张宏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欧洲语言文学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（欧语学院）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罗马尼亚语言文学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罗马尼亚当代文学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丁超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F154AE" w:rsidRPr="00B10D3F" w:rsidRDefault="00F154AE" w:rsidP="00F154AE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010-88816315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巴尔干研究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西巴尔干研究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柯静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亚非语言文学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亚非学院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韩国语言文学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韩国古典文学研究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李丽秋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F154AE" w:rsidRPr="00B10D3F" w:rsidRDefault="00F154AE" w:rsidP="00F154AE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010-88816325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中韩现代文学比较研究</w:t>
            </w:r>
          </w:p>
        </w:tc>
        <w:tc>
          <w:tcPr>
            <w:tcW w:w="73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金京善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韩语翻译学</w:t>
            </w:r>
          </w:p>
        </w:tc>
        <w:tc>
          <w:tcPr>
            <w:tcW w:w="73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东南亚地区研究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东南亚政治与法律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F154AE" w:rsidRPr="00B10D3F" w:rsidRDefault="00F154A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米良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154AE" w:rsidRPr="00B10D3F" w:rsidRDefault="00F154A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822994" w:rsidRPr="00B10D3F" w:rsidTr="00923602">
        <w:trPr>
          <w:trHeight w:val="717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lastRenderedPageBreak/>
              <w:t>外国语言学及应用语言学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外研中心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 </w:t>
            </w: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应用语言学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应用语言学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822994" w:rsidRPr="00B10D3F" w:rsidRDefault="00822994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文秋芳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822994" w:rsidRPr="00B10D3F" w:rsidRDefault="00822994" w:rsidP="00EC4D17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010-88816612</w:t>
            </w:r>
          </w:p>
          <w:p w:rsidR="00822994" w:rsidRPr="00B10D3F" w:rsidRDefault="00822994" w:rsidP="00EC4D17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  <w:p w:rsidR="00822994" w:rsidRPr="00B10D3F" w:rsidRDefault="00822994" w:rsidP="00EC4D17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010-88816826</w:t>
            </w: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（语言所）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戴曼纯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F154AE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应用语言学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/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语言测试（外国语言所）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韩宝成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语料库语言学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梁茂成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许家金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李文中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理论语言学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句法学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戴曼纯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EC4D17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认知语言学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（外国语言所）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王馥芳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认知语言学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王文斌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英汉对比研究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陈国华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王文斌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比较文学与跨文化研究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EC4D17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中外文学文化比较（中文学院）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中外文学文化比较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魏崇新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EC4D17" w:rsidRPr="00B10D3F" w:rsidRDefault="00EC4D17" w:rsidP="00EC4D17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010-88817812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EC4D17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中外文学文化关系研究（中文学院）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中外文学文化关系研究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石云涛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EC4D17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国际中国文化研究（海外汉学中心）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中外文化交流史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张西平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7C5B1B" w:rsidRPr="00B10D3F" w:rsidRDefault="007C5B1B" w:rsidP="00EC4D17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010-88816340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英美汉学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顾钧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海外中国戏剧研究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EC4D17" w:rsidRPr="00B10D3F" w:rsidRDefault="00EC4D17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梁燕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EC4D17" w:rsidRPr="00B10D3F" w:rsidRDefault="00EC4D17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EC4D17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比较文学与跨文化研究（全球史研究院）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比较文学与跨文化研究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李雪涛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7C5B1B" w:rsidRPr="00B10D3F" w:rsidRDefault="007C5B1B" w:rsidP="007C5B1B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010-88818807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柳若梅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世界文学</w:t>
            </w:r>
            <w:r w:rsidR="007C5B1B"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外国文学所）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欧美文学、中西现代诗研究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汪剑钊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B0437E" w:rsidRPr="00B10D3F" w:rsidRDefault="007C5B1B" w:rsidP="007C5B1B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010-88816307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翻译学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英汉翻译研究（外研中心）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莎士比亚语言与翻译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陈国华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翻译学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（英语学院）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翻译理论与翻译教学研究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马会娟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语言政策与规划学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社会语言学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外研中心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国家外语能力研究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文秋芳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汉语国际教育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（中文学院）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国际汉语教育管理研究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国际汉语教育管理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彭龙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中华文化海外传播研究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中华文化海外传播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孙有中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143EDB" w:rsidRPr="00B10D3F" w:rsidRDefault="00143EDB" w:rsidP="00143EDB">
            <w:pPr>
              <w:widowControl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78</w:t>
            </w: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1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2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魏崇新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石云涛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国际汉语教育研究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汉语国际教育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高育花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陈小明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143EDB" w:rsidRPr="00B10D3F" w:rsidRDefault="00143ED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梁茂成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43EDB" w:rsidRPr="00B10D3F" w:rsidRDefault="00143ED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国际法律与区域治理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(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法学院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)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国际商事交易法</w:t>
            </w:r>
          </w:p>
        </w:tc>
        <w:tc>
          <w:tcPr>
            <w:tcW w:w="1702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国际法律制度与区域法律制度</w:t>
            </w:r>
          </w:p>
        </w:tc>
        <w:tc>
          <w:tcPr>
            <w:tcW w:w="73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米良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7C5B1B" w:rsidRPr="00B10D3F" w:rsidRDefault="007C5B1B" w:rsidP="007C5B1B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010-88814525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国际知识产权制度</w:t>
            </w: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73" w:type="pct"/>
            <w:vMerge/>
            <w:tcBorders>
              <w:left w:val="single" w:sz="4" w:space="0" w:color="CCCCCC"/>
              <w:right w:val="single" w:sz="4" w:space="0" w:color="CCCCCC"/>
            </w:tcBorders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国际司法与执法合作</w:t>
            </w:r>
          </w:p>
        </w:tc>
        <w:tc>
          <w:tcPr>
            <w:tcW w:w="1702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73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国际商务与区域治理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国际资本市场研究（国际商学院）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国际金融机构与国际金融市场管理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B0437E" w:rsidRPr="00B10D3F" w:rsidRDefault="00B0437E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彭龙</w:t>
            </w:r>
          </w:p>
        </w:tc>
        <w:tc>
          <w:tcPr>
            <w:tcW w:w="973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B0437E" w:rsidRPr="00B10D3F" w:rsidRDefault="007C5B1B" w:rsidP="007C5B1B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6349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国际关系与区域研究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（国际关系学院）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大国战略与外交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美国政治与外交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李永辉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7C5B1B" w:rsidRPr="00B10D3F" w:rsidRDefault="007C5B1B" w:rsidP="007C5B1B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 w:hint="eastAsia"/>
                <w:color w:val="444444"/>
                <w:kern w:val="0"/>
                <w:szCs w:val="21"/>
              </w:rPr>
              <w:t>010-8881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7822</w:t>
            </w: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文明与区域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国际关系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李英桃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170"/>
        </w:trPr>
        <w:tc>
          <w:tcPr>
            <w:tcW w:w="660" w:type="pct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7C5B1B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国际传播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 xml:space="preserve"> 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（国际新闻与传播学院）</w:t>
            </w: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跨文化传播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跨文化传播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,</w:t>
            </w: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中西文明比较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孙有中</w:t>
            </w:r>
          </w:p>
        </w:tc>
        <w:tc>
          <w:tcPr>
            <w:tcW w:w="973" w:type="pct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7C5B1B" w:rsidRPr="00B10D3F" w:rsidRDefault="007C5B1B" w:rsidP="007C5B1B">
            <w:pPr>
              <w:widowControl/>
              <w:spacing w:after="187" w:line="196" w:lineRule="atLeas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  <w:tr w:rsidR="00B10D3F" w:rsidRPr="00B10D3F" w:rsidTr="00822994">
        <w:trPr>
          <w:trHeight w:val="971"/>
        </w:trPr>
        <w:tc>
          <w:tcPr>
            <w:tcW w:w="660" w:type="pct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战略传播</w:t>
            </w:r>
          </w:p>
        </w:tc>
        <w:tc>
          <w:tcPr>
            <w:tcW w:w="170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国家形象，国家形象广告与国家公共关系，战略思想，品牌战略传播</w:t>
            </w:r>
          </w:p>
        </w:tc>
        <w:tc>
          <w:tcPr>
            <w:tcW w:w="73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94" w:type="dxa"/>
              <w:bottom w:w="19" w:type="dxa"/>
              <w:right w:w="94" w:type="dxa"/>
            </w:tcMar>
            <w:vAlign w:val="center"/>
            <w:hideMark/>
          </w:tcPr>
          <w:p w:rsidR="007C5B1B" w:rsidRPr="00B10D3F" w:rsidRDefault="007C5B1B" w:rsidP="00165B59">
            <w:pPr>
              <w:widowControl/>
              <w:spacing w:after="187" w:line="196" w:lineRule="atLeast"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  <w:r w:rsidRPr="00B10D3F">
              <w:rPr>
                <w:rFonts w:ascii="Helvetica" w:eastAsia="宋体" w:hAnsi="Helvetica" w:cs="宋体"/>
                <w:color w:val="444444"/>
                <w:kern w:val="0"/>
                <w:szCs w:val="21"/>
              </w:rPr>
              <w:t>何辉</w:t>
            </w:r>
          </w:p>
        </w:tc>
        <w:tc>
          <w:tcPr>
            <w:tcW w:w="973" w:type="pct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7C5B1B" w:rsidRPr="00B10D3F" w:rsidRDefault="007C5B1B" w:rsidP="00165B59">
            <w:pPr>
              <w:widowControl/>
              <w:jc w:val="left"/>
              <w:rPr>
                <w:rFonts w:ascii="Helvetica" w:eastAsia="宋体" w:hAnsi="Helvetica" w:cs="宋体"/>
                <w:color w:val="444444"/>
                <w:kern w:val="0"/>
                <w:szCs w:val="21"/>
              </w:rPr>
            </w:pPr>
          </w:p>
        </w:tc>
      </w:tr>
    </w:tbl>
    <w:p w:rsidR="00F113D4" w:rsidRDefault="00F113D4" w:rsidP="00B10D3F"/>
    <w:sectPr w:rsidR="00F113D4" w:rsidSect="0017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EB" w:rsidRDefault="00BB17EB" w:rsidP="00165B59">
      <w:r>
        <w:separator/>
      </w:r>
    </w:p>
  </w:endnote>
  <w:endnote w:type="continuationSeparator" w:id="1">
    <w:p w:rsidR="00BB17EB" w:rsidRDefault="00BB17EB" w:rsidP="00165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EB" w:rsidRDefault="00BB17EB" w:rsidP="00165B59">
      <w:r>
        <w:separator/>
      </w:r>
    </w:p>
  </w:footnote>
  <w:footnote w:type="continuationSeparator" w:id="1">
    <w:p w:rsidR="00BB17EB" w:rsidRDefault="00BB17EB" w:rsidP="00165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B59"/>
    <w:rsid w:val="000B1EBB"/>
    <w:rsid w:val="00137CC6"/>
    <w:rsid w:val="00143EDB"/>
    <w:rsid w:val="00165B59"/>
    <w:rsid w:val="00174DA5"/>
    <w:rsid w:val="001C0550"/>
    <w:rsid w:val="002A66C6"/>
    <w:rsid w:val="00583A31"/>
    <w:rsid w:val="007C5B1B"/>
    <w:rsid w:val="00822994"/>
    <w:rsid w:val="00B0437E"/>
    <w:rsid w:val="00B10D3F"/>
    <w:rsid w:val="00BB17EB"/>
    <w:rsid w:val="00EC4D17"/>
    <w:rsid w:val="00F113D4"/>
    <w:rsid w:val="00F1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B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B59"/>
    <w:rPr>
      <w:sz w:val="18"/>
      <w:szCs w:val="18"/>
    </w:rPr>
  </w:style>
  <w:style w:type="character" w:styleId="a5">
    <w:name w:val="Strong"/>
    <w:basedOn w:val="a0"/>
    <w:uiPriority w:val="22"/>
    <w:qFormat/>
    <w:rsid w:val="00165B59"/>
    <w:rPr>
      <w:b/>
      <w:bCs/>
      <w:color w:val="333333"/>
    </w:rPr>
  </w:style>
  <w:style w:type="paragraph" w:styleId="a6">
    <w:name w:val="Normal (Web)"/>
    <w:basedOn w:val="a"/>
    <w:uiPriority w:val="99"/>
    <w:semiHidden/>
    <w:unhideWhenUsed/>
    <w:rsid w:val="00165B59"/>
    <w:pPr>
      <w:widowControl/>
      <w:spacing w:after="187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1990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190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212B6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312</Words>
  <Characters>1785</Characters>
  <Application>Microsoft Office Word</Application>
  <DocSecurity>0</DocSecurity>
  <Lines>14</Lines>
  <Paragraphs>4</Paragraphs>
  <ScaleCrop>false</ScaleCrop>
  <Company>BFSU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5</cp:revision>
  <dcterms:created xsi:type="dcterms:W3CDTF">2015-11-11T01:17:00Z</dcterms:created>
  <dcterms:modified xsi:type="dcterms:W3CDTF">2015-11-11T01:55:00Z</dcterms:modified>
</cp:coreProperties>
</file>