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16" w:rsidRPr="00A92F16" w:rsidRDefault="00A92F16" w:rsidP="00A92F16">
      <w:pPr>
        <w:widowControl/>
        <w:spacing w:line="480" w:lineRule="auto"/>
        <w:ind w:firstLine="480"/>
        <w:rPr>
          <w:rFonts w:ascii="Times New Roman" w:eastAsia="宋体" w:hAnsi="Times New Roman" w:cs="Times New Roman"/>
          <w:color w:val="3E3E3E"/>
          <w:kern w:val="0"/>
          <w:szCs w:val="21"/>
        </w:rPr>
      </w:pPr>
      <w:r w:rsidRPr="00A92F16">
        <w:rPr>
          <w:rFonts w:ascii="Times New Roman" w:eastAsia="宋体" w:hAnsi="Times New Roman" w:cs="Times New Roman"/>
          <w:color w:val="3E3E3E"/>
          <w:kern w:val="0"/>
          <w:szCs w:val="21"/>
        </w:rPr>
        <w:br/>
        <w:t> </w:t>
      </w:r>
      <w:r w:rsidRPr="00A92F16">
        <w:rPr>
          <w:rFonts w:ascii="Times New Roman" w:eastAsia="宋体" w:hAnsi="Times New Roman" w:cs="Times New Roman"/>
          <w:color w:val="3E3E3E"/>
          <w:kern w:val="0"/>
          <w:szCs w:val="21"/>
        </w:rPr>
        <w:t>绥化市住房公积金管理中心等事业单位公开招聘岗位条件调整后计划</w:t>
      </w:r>
    </w:p>
    <w:tbl>
      <w:tblPr>
        <w:tblW w:w="5000" w:type="pct"/>
        <w:tblCellMar>
          <w:left w:w="0" w:type="dxa"/>
          <w:right w:w="0" w:type="dxa"/>
        </w:tblCellMar>
        <w:tblLook w:val="04A0"/>
      </w:tblPr>
      <w:tblGrid>
        <w:gridCol w:w="521"/>
        <w:gridCol w:w="1395"/>
        <w:gridCol w:w="1622"/>
        <w:gridCol w:w="947"/>
        <w:gridCol w:w="675"/>
        <w:gridCol w:w="1174"/>
        <w:gridCol w:w="2089"/>
        <w:gridCol w:w="1420"/>
        <w:gridCol w:w="1542"/>
        <w:gridCol w:w="2789"/>
      </w:tblGrid>
      <w:tr w:rsidR="00A92F16" w:rsidRPr="00A92F16" w:rsidTr="00A92F16">
        <w:trPr>
          <w:trHeight w:val="480"/>
        </w:trPr>
        <w:tc>
          <w:tcPr>
            <w:tcW w:w="184" w:type="pct"/>
            <w:vMerge w:val="restart"/>
            <w:tcBorders>
              <w:top w:val="single" w:sz="8" w:space="0" w:color="auto"/>
              <w:left w:val="single" w:sz="8" w:space="0" w:color="auto"/>
              <w:bottom w:val="single" w:sz="8" w:space="0" w:color="000000"/>
              <w:right w:val="nil"/>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序号</w:t>
            </w:r>
          </w:p>
        </w:tc>
        <w:tc>
          <w:tcPr>
            <w:tcW w:w="492" w:type="pct"/>
            <w:vMerge w:val="restart"/>
            <w:tcBorders>
              <w:top w:val="single" w:sz="8" w:space="0" w:color="auto"/>
              <w:left w:val="single" w:sz="8" w:space="0" w:color="auto"/>
              <w:bottom w:val="single" w:sz="8" w:space="0" w:color="000000"/>
              <w:right w:val="nil"/>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招聘单位</w:t>
            </w:r>
          </w:p>
        </w:tc>
        <w:tc>
          <w:tcPr>
            <w:tcW w:w="572" w:type="pct"/>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招聘岗位</w:t>
            </w:r>
          </w:p>
        </w:tc>
        <w:tc>
          <w:tcPr>
            <w:tcW w:w="334"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招聘对象</w:t>
            </w:r>
          </w:p>
        </w:tc>
        <w:tc>
          <w:tcPr>
            <w:tcW w:w="238"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招聘人数</w:t>
            </w:r>
          </w:p>
        </w:tc>
        <w:tc>
          <w:tcPr>
            <w:tcW w:w="2196" w:type="pct"/>
            <w:gridSpan w:val="4"/>
            <w:tcBorders>
              <w:top w:val="single" w:sz="8" w:space="0" w:color="auto"/>
              <w:left w:val="nil"/>
              <w:bottom w:val="nil"/>
              <w:right w:val="single" w:sz="8" w:space="0" w:color="000000"/>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招聘条件</w:t>
            </w:r>
          </w:p>
        </w:tc>
        <w:tc>
          <w:tcPr>
            <w:tcW w:w="9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备注</w:t>
            </w:r>
          </w:p>
        </w:tc>
      </w:tr>
      <w:tr w:rsidR="00A92F16" w:rsidRPr="00A92F16" w:rsidTr="00A92F16">
        <w:trPr>
          <w:trHeight w:val="540"/>
        </w:trPr>
        <w:tc>
          <w:tcPr>
            <w:tcW w:w="184" w:type="pct"/>
            <w:vMerge/>
            <w:tcBorders>
              <w:top w:val="single" w:sz="8" w:space="0" w:color="auto"/>
              <w:left w:val="single" w:sz="8" w:space="0" w:color="auto"/>
              <w:bottom w:val="single" w:sz="8" w:space="0" w:color="000000"/>
              <w:right w:val="nil"/>
            </w:tcBorders>
            <w:vAlign w:val="center"/>
            <w:hideMark/>
          </w:tcPr>
          <w:p w:rsidR="00A92F16" w:rsidRPr="00A92F16" w:rsidRDefault="00A92F16" w:rsidP="00A92F16">
            <w:pPr>
              <w:widowControl/>
              <w:jc w:val="left"/>
              <w:rPr>
                <w:rFonts w:ascii="Times New Roman" w:eastAsia="宋体" w:hAnsi="Times New Roman" w:cs="Times New Roman"/>
                <w:color w:val="3E3E3E"/>
                <w:kern w:val="0"/>
                <w:szCs w:val="21"/>
              </w:rPr>
            </w:pPr>
          </w:p>
        </w:tc>
        <w:tc>
          <w:tcPr>
            <w:tcW w:w="492" w:type="pct"/>
            <w:vMerge/>
            <w:tcBorders>
              <w:top w:val="single" w:sz="8" w:space="0" w:color="auto"/>
              <w:left w:val="single" w:sz="8" w:space="0" w:color="auto"/>
              <w:bottom w:val="single" w:sz="8" w:space="0" w:color="000000"/>
              <w:right w:val="nil"/>
            </w:tcBorders>
            <w:vAlign w:val="center"/>
            <w:hideMark/>
          </w:tcPr>
          <w:p w:rsidR="00A92F16" w:rsidRPr="00A92F16" w:rsidRDefault="00A92F16" w:rsidP="00A92F16">
            <w:pPr>
              <w:widowControl/>
              <w:jc w:val="left"/>
              <w:rPr>
                <w:rFonts w:ascii="Times New Roman" w:eastAsia="宋体" w:hAnsi="Times New Roman" w:cs="Times New Roman"/>
                <w:color w:val="3E3E3E"/>
                <w:kern w:val="0"/>
                <w:szCs w:val="21"/>
              </w:rPr>
            </w:pPr>
          </w:p>
        </w:tc>
        <w:tc>
          <w:tcPr>
            <w:tcW w:w="572" w:type="pct"/>
            <w:vMerge/>
            <w:tcBorders>
              <w:top w:val="single" w:sz="8" w:space="0" w:color="auto"/>
              <w:left w:val="single" w:sz="8" w:space="0" w:color="auto"/>
              <w:bottom w:val="single" w:sz="8" w:space="0" w:color="000000"/>
              <w:right w:val="single" w:sz="8" w:space="0" w:color="auto"/>
            </w:tcBorders>
            <w:vAlign w:val="center"/>
            <w:hideMark/>
          </w:tcPr>
          <w:p w:rsidR="00A92F16" w:rsidRPr="00A92F16" w:rsidRDefault="00A92F16" w:rsidP="00A92F16">
            <w:pPr>
              <w:widowControl/>
              <w:jc w:val="left"/>
              <w:rPr>
                <w:rFonts w:ascii="Times New Roman" w:eastAsia="宋体" w:hAnsi="Times New Roman" w:cs="Times New Roman"/>
                <w:color w:val="3E3E3E"/>
                <w:kern w:val="0"/>
                <w:szCs w:val="21"/>
              </w:rPr>
            </w:pPr>
          </w:p>
        </w:tc>
        <w:tc>
          <w:tcPr>
            <w:tcW w:w="334" w:type="pct"/>
            <w:vMerge/>
            <w:tcBorders>
              <w:top w:val="single" w:sz="8" w:space="0" w:color="auto"/>
              <w:left w:val="nil"/>
              <w:bottom w:val="single" w:sz="8" w:space="0" w:color="000000"/>
              <w:right w:val="single" w:sz="8" w:space="0" w:color="auto"/>
            </w:tcBorders>
            <w:vAlign w:val="center"/>
            <w:hideMark/>
          </w:tcPr>
          <w:p w:rsidR="00A92F16" w:rsidRPr="00A92F16" w:rsidRDefault="00A92F16" w:rsidP="00A92F16">
            <w:pPr>
              <w:widowControl/>
              <w:jc w:val="left"/>
              <w:rPr>
                <w:rFonts w:ascii="Times New Roman" w:eastAsia="宋体" w:hAnsi="Times New Roman" w:cs="Times New Roman"/>
                <w:color w:val="3E3E3E"/>
                <w:kern w:val="0"/>
                <w:szCs w:val="21"/>
              </w:rPr>
            </w:pPr>
          </w:p>
        </w:tc>
        <w:tc>
          <w:tcPr>
            <w:tcW w:w="238" w:type="pct"/>
            <w:vMerge/>
            <w:tcBorders>
              <w:top w:val="single" w:sz="8" w:space="0" w:color="auto"/>
              <w:left w:val="nil"/>
              <w:bottom w:val="single" w:sz="8" w:space="0" w:color="000000"/>
              <w:right w:val="single" w:sz="8" w:space="0" w:color="auto"/>
            </w:tcBorders>
            <w:vAlign w:val="center"/>
            <w:hideMark/>
          </w:tcPr>
          <w:p w:rsidR="00A92F16" w:rsidRPr="00A92F16" w:rsidRDefault="00A92F16" w:rsidP="00A92F16">
            <w:pPr>
              <w:widowControl/>
              <w:jc w:val="left"/>
              <w:rPr>
                <w:rFonts w:ascii="Times New Roman" w:eastAsia="宋体" w:hAnsi="Times New Roman" w:cs="Times New Roman"/>
                <w:color w:val="3E3E3E"/>
                <w:kern w:val="0"/>
                <w:szCs w:val="21"/>
              </w:rPr>
            </w:pP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专业</w:t>
            </w:r>
          </w:p>
        </w:tc>
        <w:tc>
          <w:tcPr>
            <w:tcW w:w="7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学历</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年龄</w:t>
            </w:r>
          </w:p>
        </w:tc>
        <w:tc>
          <w:tcPr>
            <w:tcW w:w="5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其他</w:t>
            </w:r>
          </w:p>
        </w:tc>
        <w:tc>
          <w:tcPr>
            <w:tcW w:w="984" w:type="pct"/>
            <w:vMerge/>
            <w:tcBorders>
              <w:top w:val="single" w:sz="8" w:space="0" w:color="auto"/>
              <w:left w:val="nil"/>
              <w:bottom w:val="single" w:sz="8" w:space="0" w:color="auto"/>
              <w:right w:val="single" w:sz="8" w:space="0" w:color="auto"/>
            </w:tcBorders>
            <w:vAlign w:val="center"/>
            <w:hideMark/>
          </w:tcPr>
          <w:p w:rsidR="00A92F16" w:rsidRPr="00A92F16" w:rsidRDefault="00A92F16" w:rsidP="00A92F16">
            <w:pPr>
              <w:widowControl/>
              <w:jc w:val="left"/>
              <w:rPr>
                <w:rFonts w:ascii="Times New Roman" w:eastAsia="宋体" w:hAnsi="Times New Roman" w:cs="Times New Roman"/>
                <w:color w:val="3E3E3E"/>
                <w:kern w:val="0"/>
                <w:szCs w:val="21"/>
              </w:rPr>
            </w:pPr>
          </w:p>
        </w:tc>
      </w:tr>
      <w:tr w:rsidR="00A92F16" w:rsidRPr="00A92F16" w:rsidTr="00A92F16">
        <w:trPr>
          <w:trHeight w:val="1005"/>
        </w:trPr>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1</w:t>
            </w:r>
          </w:p>
        </w:tc>
        <w:tc>
          <w:tcPr>
            <w:tcW w:w="4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绥化市住房公积金</w:t>
            </w:r>
            <w:r w:rsidRPr="00A92F16">
              <w:rPr>
                <w:rFonts w:ascii="宋体" w:eastAsia="宋体" w:hAnsi="宋体" w:cs="Times New Roman" w:hint="eastAsia"/>
                <w:color w:val="3E3E3E"/>
                <w:kern w:val="0"/>
                <w:sz w:val="20"/>
                <w:szCs w:val="20"/>
              </w:rPr>
              <w:br/>
              <w:t>管理中心</w:t>
            </w:r>
          </w:p>
        </w:tc>
        <w:tc>
          <w:tcPr>
            <w:tcW w:w="5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000000"/>
                <w:kern w:val="0"/>
                <w:sz w:val="20"/>
                <w:szCs w:val="20"/>
              </w:rPr>
              <w:t>信贷、归集管理</w:t>
            </w:r>
          </w:p>
        </w:tc>
        <w:tc>
          <w:tcPr>
            <w:tcW w:w="3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000000"/>
                <w:kern w:val="0"/>
                <w:sz w:val="20"/>
                <w:szCs w:val="20"/>
              </w:rPr>
              <w:t>不限</w:t>
            </w:r>
          </w:p>
        </w:tc>
        <w:tc>
          <w:tcPr>
            <w:tcW w:w="2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000000"/>
                <w:kern w:val="0"/>
                <w:sz w:val="20"/>
                <w:szCs w:val="20"/>
              </w:rPr>
              <w:t>会计审计</w:t>
            </w:r>
            <w:r w:rsidRPr="00A92F16">
              <w:rPr>
                <w:rFonts w:ascii="宋体" w:eastAsia="宋体" w:hAnsi="宋体" w:cs="Times New Roman" w:hint="eastAsia"/>
                <w:b/>
                <w:bCs/>
                <w:color w:val="000000"/>
                <w:kern w:val="0"/>
                <w:sz w:val="20"/>
                <w:szCs w:val="20"/>
              </w:rPr>
              <w:br/>
              <w:t>（二级目录）</w:t>
            </w:r>
          </w:p>
        </w:tc>
        <w:tc>
          <w:tcPr>
            <w:tcW w:w="737" w:type="pct"/>
            <w:tcBorders>
              <w:top w:val="nil"/>
              <w:left w:val="nil"/>
              <w:bottom w:val="single" w:sz="8" w:space="0" w:color="auto"/>
              <w:right w:val="nil"/>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000000"/>
                <w:kern w:val="0"/>
                <w:sz w:val="20"/>
                <w:szCs w:val="20"/>
              </w:rPr>
              <w:t>统招大专及以上</w:t>
            </w:r>
          </w:p>
        </w:tc>
        <w:tc>
          <w:tcPr>
            <w:tcW w:w="501"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br/>
              <w:t>18至30周岁</w:t>
            </w:r>
          </w:p>
        </w:tc>
        <w:tc>
          <w:tcPr>
            <w:tcW w:w="5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户籍不限</w:t>
            </w:r>
          </w:p>
        </w:tc>
        <w:tc>
          <w:tcPr>
            <w:tcW w:w="9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 xml:space="preserve">　</w:t>
            </w:r>
          </w:p>
        </w:tc>
      </w:tr>
      <w:tr w:rsidR="00A92F16" w:rsidRPr="00A92F16" w:rsidTr="00A92F16">
        <w:trPr>
          <w:trHeight w:val="1005"/>
        </w:trPr>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2</w:t>
            </w:r>
          </w:p>
        </w:tc>
        <w:tc>
          <w:tcPr>
            <w:tcW w:w="4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绥化市住房公积金</w:t>
            </w:r>
            <w:r w:rsidRPr="00A92F16">
              <w:rPr>
                <w:rFonts w:ascii="宋体" w:eastAsia="宋体" w:hAnsi="宋体" w:cs="Times New Roman" w:hint="eastAsia"/>
                <w:color w:val="3E3E3E"/>
                <w:kern w:val="0"/>
                <w:sz w:val="20"/>
                <w:szCs w:val="20"/>
              </w:rPr>
              <w:br/>
              <w:t>管理中心</w:t>
            </w:r>
          </w:p>
        </w:tc>
        <w:tc>
          <w:tcPr>
            <w:tcW w:w="5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000000"/>
                <w:kern w:val="0"/>
                <w:sz w:val="20"/>
                <w:szCs w:val="20"/>
              </w:rPr>
              <w:t>县（市）管理部</w:t>
            </w:r>
            <w:r w:rsidRPr="00A92F16">
              <w:rPr>
                <w:rFonts w:ascii="宋体" w:eastAsia="宋体" w:hAnsi="宋体" w:cs="Times New Roman" w:hint="eastAsia"/>
                <w:b/>
                <w:bCs/>
                <w:color w:val="000000"/>
                <w:kern w:val="0"/>
                <w:sz w:val="20"/>
                <w:szCs w:val="20"/>
              </w:rPr>
              <w:br/>
              <w:t>信贷、归集管理</w:t>
            </w:r>
          </w:p>
        </w:tc>
        <w:tc>
          <w:tcPr>
            <w:tcW w:w="3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000000"/>
                <w:kern w:val="0"/>
                <w:sz w:val="20"/>
                <w:szCs w:val="20"/>
              </w:rPr>
              <w:t>不限</w:t>
            </w:r>
          </w:p>
        </w:tc>
        <w:tc>
          <w:tcPr>
            <w:tcW w:w="2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14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000000"/>
                <w:kern w:val="0"/>
                <w:sz w:val="20"/>
                <w:szCs w:val="20"/>
              </w:rPr>
              <w:t>会计审计</w:t>
            </w:r>
            <w:r w:rsidRPr="00A92F16">
              <w:rPr>
                <w:rFonts w:ascii="宋体" w:eastAsia="宋体" w:hAnsi="宋体" w:cs="Times New Roman" w:hint="eastAsia"/>
                <w:b/>
                <w:bCs/>
                <w:color w:val="000000"/>
                <w:kern w:val="0"/>
                <w:sz w:val="20"/>
                <w:szCs w:val="20"/>
              </w:rPr>
              <w:br/>
              <w:t>（二级目录）</w:t>
            </w:r>
          </w:p>
        </w:tc>
        <w:tc>
          <w:tcPr>
            <w:tcW w:w="737" w:type="pct"/>
            <w:tcBorders>
              <w:top w:val="nil"/>
              <w:left w:val="nil"/>
              <w:bottom w:val="single" w:sz="8" w:space="0" w:color="auto"/>
              <w:right w:val="nil"/>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000000"/>
                <w:kern w:val="0"/>
                <w:sz w:val="20"/>
                <w:szCs w:val="20"/>
              </w:rPr>
              <w:t>统招大专及以上</w:t>
            </w:r>
          </w:p>
        </w:tc>
        <w:tc>
          <w:tcPr>
            <w:tcW w:w="501"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br/>
              <w:t>18至30周岁</w:t>
            </w:r>
          </w:p>
        </w:tc>
        <w:tc>
          <w:tcPr>
            <w:tcW w:w="5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3E3E3E"/>
                <w:kern w:val="0"/>
                <w:sz w:val="20"/>
                <w:szCs w:val="20"/>
              </w:rPr>
              <w:t>户籍不限</w:t>
            </w:r>
          </w:p>
        </w:tc>
        <w:tc>
          <w:tcPr>
            <w:tcW w:w="9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统一安排到绥棱、庆安、肇东、兰西、青冈、明水、安达等县（市）工作</w:t>
            </w:r>
          </w:p>
        </w:tc>
      </w:tr>
      <w:tr w:rsidR="00A92F16" w:rsidRPr="00A92F16" w:rsidTr="00A92F16">
        <w:trPr>
          <w:trHeight w:val="1005"/>
        </w:trPr>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3</w:t>
            </w:r>
          </w:p>
        </w:tc>
        <w:tc>
          <w:tcPr>
            <w:tcW w:w="4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绥化市市政管理处</w:t>
            </w:r>
          </w:p>
        </w:tc>
        <w:tc>
          <w:tcPr>
            <w:tcW w:w="5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000000"/>
                <w:kern w:val="0"/>
                <w:sz w:val="20"/>
                <w:szCs w:val="20"/>
              </w:rPr>
              <w:t>行政执法</w:t>
            </w:r>
          </w:p>
        </w:tc>
        <w:tc>
          <w:tcPr>
            <w:tcW w:w="3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000000"/>
                <w:kern w:val="0"/>
                <w:sz w:val="20"/>
                <w:szCs w:val="20"/>
              </w:rPr>
              <w:t>不限</w:t>
            </w:r>
          </w:p>
        </w:tc>
        <w:tc>
          <w:tcPr>
            <w:tcW w:w="2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不限</w:t>
            </w:r>
          </w:p>
        </w:tc>
        <w:tc>
          <w:tcPr>
            <w:tcW w:w="7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000000"/>
                <w:kern w:val="0"/>
                <w:sz w:val="20"/>
                <w:szCs w:val="20"/>
              </w:rPr>
              <w:t>统招大专及以上</w:t>
            </w:r>
          </w:p>
        </w:tc>
        <w:tc>
          <w:tcPr>
            <w:tcW w:w="501" w:type="pct"/>
            <w:tcBorders>
              <w:top w:val="nil"/>
              <w:left w:val="nil"/>
              <w:bottom w:val="single" w:sz="8" w:space="0" w:color="auto"/>
              <w:right w:val="nil"/>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br/>
              <w:t>18至30周岁</w:t>
            </w:r>
          </w:p>
        </w:tc>
        <w:tc>
          <w:tcPr>
            <w:tcW w:w="54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绥化市户籍</w:t>
            </w:r>
          </w:p>
        </w:tc>
        <w:tc>
          <w:tcPr>
            <w:tcW w:w="9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男性，统一安排到行政执法一线工作</w:t>
            </w:r>
          </w:p>
        </w:tc>
      </w:tr>
      <w:tr w:rsidR="00A92F16" w:rsidRPr="00A92F16" w:rsidTr="00A92F16">
        <w:trPr>
          <w:trHeight w:val="1005"/>
        </w:trPr>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4</w:t>
            </w:r>
          </w:p>
        </w:tc>
        <w:tc>
          <w:tcPr>
            <w:tcW w:w="4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绥化市市政管理处</w:t>
            </w:r>
          </w:p>
        </w:tc>
        <w:tc>
          <w:tcPr>
            <w:tcW w:w="5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000000"/>
                <w:kern w:val="0"/>
                <w:sz w:val="20"/>
                <w:szCs w:val="20"/>
              </w:rPr>
              <w:t>工勤岗位</w:t>
            </w:r>
          </w:p>
        </w:tc>
        <w:tc>
          <w:tcPr>
            <w:tcW w:w="3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000000"/>
                <w:kern w:val="0"/>
                <w:sz w:val="20"/>
                <w:szCs w:val="20"/>
              </w:rPr>
              <w:t>不限</w:t>
            </w:r>
          </w:p>
        </w:tc>
        <w:tc>
          <w:tcPr>
            <w:tcW w:w="2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不限</w:t>
            </w:r>
          </w:p>
        </w:tc>
        <w:tc>
          <w:tcPr>
            <w:tcW w:w="737" w:type="pct"/>
            <w:tcBorders>
              <w:top w:val="nil"/>
              <w:left w:val="nil"/>
              <w:bottom w:val="single" w:sz="8" w:space="0" w:color="auto"/>
              <w:right w:val="nil"/>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000000"/>
                <w:kern w:val="0"/>
                <w:sz w:val="20"/>
                <w:szCs w:val="20"/>
              </w:rPr>
              <w:br/>
              <w:t>统招中专及以上</w:t>
            </w:r>
          </w:p>
        </w:tc>
        <w:tc>
          <w:tcPr>
            <w:tcW w:w="501"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br/>
              <w:t>18至30周岁</w:t>
            </w:r>
          </w:p>
        </w:tc>
        <w:tc>
          <w:tcPr>
            <w:tcW w:w="544"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绥化市户籍</w:t>
            </w:r>
          </w:p>
        </w:tc>
        <w:tc>
          <w:tcPr>
            <w:tcW w:w="9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男性，统一安排到行政执法一线工作</w:t>
            </w:r>
          </w:p>
        </w:tc>
      </w:tr>
      <w:tr w:rsidR="00A92F16" w:rsidRPr="00A92F16" w:rsidTr="00A92F16">
        <w:trPr>
          <w:trHeight w:val="1005"/>
        </w:trPr>
        <w:tc>
          <w:tcPr>
            <w:tcW w:w="1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5</w:t>
            </w:r>
          </w:p>
        </w:tc>
        <w:tc>
          <w:tcPr>
            <w:tcW w:w="4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绥化市环境监察支队</w:t>
            </w:r>
          </w:p>
        </w:tc>
        <w:tc>
          <w:tcPr>
            <w:tcW w:w="5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000000"/>
                <w:kern w:val="0"/>
                <w:sz w:val="20"/>
                <w:szCs w:val="20"/>
              </w:rPr>
              <w:t>现场监察员</w:t>
            </w:r>
          </w:p>
        </w:tc>
        <w:tc>
          <w:tcPr>
            <w:tcW w:w="3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b/>
                <w:bCs/>
                <w:color w:val="000000"/>
                <w:kern w:val="0"/>
                <w:sz w:val="20"/>
                <w:szCs w:val="20"/>
              </w:rPr>
              <w:t>不限</w:t>
            </w:r>
          </w:p>
        </w:tc>
        <w:tc>
          <w:tcPr>
            <w:tcW w:w="2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不限</w:t>
            </w:r>
          </w:p>
        </w:tc>
        <w:tc>
          <w:tcPr>
            <w:tcW w:w="7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000000"/>
                <w:kern w:val="0"/>
                <w:sz w:val="20"/>
                <w:szCs w:val="20"/>
              </w:rPr>
              <w:t>大专及以上</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18至30周岁</w:t>
            </w:r>
          </w:p>
        </w:tc>
        <w:tc>
          <w:tcPr>
            <w:tcW w:w="5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黑龙江省户籍</w:t>
            </w:r>
          </w:p>
        </w:tc>
        <w:tc>
          <w:tcPr>
            <w:tcW w:w="9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宋体" w:eastAsia="宋体" w:hAnsi="宋体" w:cs="Times New Roman" w:hint="eastAsia"/>
                <w:color w:val="3E3E3E"/>
                <w:kern w:val="0"/>
                <w:sz w:val="20"/>
                <w:szCs w:val="20"/>
              </w:rPr>
              <w:t xml:space="preserve">　</w:t>
            </w:r>
          </w:p>
        </w:tc>
      </w:tr>
    </w:tbl>
    <w:p w:rsidR="00A92F16" w:rsidRPr="00A92F16" w:rsidRDefault="00A92F16" w:rsidP="00A92F16">
      <w:pPr>
        <w:widowControl/>
        <w:ind w:firstLine="480"/>
        <w:rPr>
          <w:rFonts w:ascii="Times New Roman" w:eastAsia="宋体" w:hAnsi="Times New Roman" w:cs="Times New Roman"/>
          <w:color w:val="3E3E3E"/>
          <w:kern w:val="0"/>
          <w:szCs w:val="21"/>
        </w:rPr>
      </w:pPr>
      <w:r w:rsidRPr="00A92F16">
        <w:rPr>
          <w:rFonts w:ascii="Times New Roman" w:eastAsia="宋体" w:hAnsi="Times New Roman" w:cs="Times New Roman"/>
          <w:color w:val="3E3E3E"/>
          <w:kern w:val="0"/>
          <w:szCs w:val="21"/>
        </w:rPr>
        <w:t> </w:t>
      </w:r>
    </w:p>
    <w:p w:rsidR="000567F9" w:rsidRPr="00A92F16" w:rsidRDefault="000567F9" w:rsidP="00A92F16"/>
    <w:sectPr w:rsidR="000567F9" w:rsidRPr="00A92F16" w:rsidSect="00CA7B5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7F9" w:rsidRDefault="000567F9" w:rsidP="00CA7B53">
      <w:r>
        <w:separator/>
      </w:r>
    </w:p>
  </w:endnote>
  <w:endnote w:type="continuationSeparator" w:id="1">
    <w:p w:rsidR="000567F9" w:rsidRDefault="000567F9" w:rsidP="00CA7B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7F9" w:rsidRDefault="000567F9" w:rsidP="00CA7B53">
      <w:r>
        <w:separator/>
      </w:r>
    </w:p>
  </w:footnote>
  <w:footnote w:type="continuationSeparator" w:id="1">
    <w:p w:rsidR="000567F9" w:rsidRDefault="000567F9" w:rsidP="00CA7B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7B53"/>
    <w:rsid w:val="000567F9"/>
    <w:rsid w:val="009D076B"/>
    <w:rsid w:val="00A92F16"/>
    <w:rsid w:val="00CA7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7B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7B53"/>
    <w:rPr>
      <w:sz w:val="18"/>
      <w:szCs w:val="18"/>
    </w:rPr>
  </w:style>
  <w:style w:type="paragraph" w:styleId="a4">
    <w:name w:val="footer"/>
    <w:basedOn w:val="a"/>
    <w:link w:val="Char0"/>
    <w:uiPriority w:val="99"/>
    <w:semiHidden/>
    <w:unhideWhenUsed/>
    <w:rsid w:val="00CA7B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7B53"/>
    <w:rPr>
      <w:sz w:val="18"/>
      <w:szCs w:val="18"/>
    </w:rPr>
  </w:style>
  <w:style w:type="character" w:styleId="a5">
    <w:name w:val="Strong"/>
    <w:basedOn w:val="a0"/>
    <w:uiPriority w:val="22"/>
    <w:qFormat/>
    <w:rsid w:val="00CA7B53"/>
    <w:rPr>
      <w:b/>
      <w:bCs/>
    </w:rPr>
  </w:style>
  <w:style w:type="paragraph" w:styleId="a6">
    <w:name w:val="Normal (Web)"/>
    <w:basedOn w:val="a"/>
    <w:uiPriority w:val="99"/>
    <w:semiHidden/>
    <w:unhideWhenUsed/>
    <w:rsid w:val="009D076B"/>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9D076B"/>
    <w:rPr>
      <w:sz w:val="18"/>
      <w:szCs w:val="18"/>
    </w:rPr>
  </w:style>
  <w:style w:type="character" w:customStyle="1" w:styleId="Char1">
    <w:name w:val="批注框文本 Char"/>
    <w:basedOn w:val="a0"/>
    <w:link w:val="a7"/>
    <w:uiPriority w:val="99"/>
    <w:semiHidden/>
    <w:rsid w:val="009D076B"/>
    <w:rPr>
      <w:sz w:val="18"/>
      <w:szCs w:val="18"/>
    </w:rPr>
  </w:style>
</w:styles>
</file>

<file path=word/webSettings.xml><?xml version="1.0" encoding="utf-8"?>
<w:webSettings xmlns:r="http://schemas.openxmlformats.org/officeDocument/2006/relationships" xmlns:w="http://schemas.openxmlformats.org/wordprocessingml/2006/main">
  <w:divs>
    <w:div w:id="1028677602">
      <w:bodyDiv w:val="1"/>
      <w:marLeft w:val="0"/>
      <w:marRight w:val="0"/>
      <w:marTop w:val="0"/>
      <w:marBottom w:val="0"/>
      <w:divBdr>
        <w:top w:val="none" w:sz="0" w:space="0" w:color="auto"/>
        <w:left w:val="none" w:sz="0" w:space="0" w:color="auto"/>
        <w:bottom w:val="none" w:sz="0" w:space="0" w:color="auto"/>
        <w:right w:val="none" w:sz="0" w:space="0" w:color="auto"/>
      </w:divBdr>
    </w:div>
    <w:div w:id="162372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Words>
  <Characters>375</Characters>
  <Application>Microsoft Office Word</Application>
  <DocSecurity>0</DocSecurity>
  <Lines>3</Lines>
  <Paragraphs>1</Paragraphs>
  <ScaleCrop>false</ScaleCrop>
  <Company>Sky123.Org</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2015-11-13T01:26:00Z</dcterms:created>
  <dcterms:modified xsi:type="dcterms:W3CDTF">2015-11-13T01:26:00Z</dcterms:modified>
</cp:coreProperties>
</file>