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20" w:lineRule="exact"/>
        <w:ind w:left="0" w:right="0" w:firstLine="629"/>
        <w:jc w:val="left"/>
        <w:textAlignment w:val="baseline"/>
        <w:rPr>
          <w:sz w:val="16"/>
          <w:szCs w:val="20"/>
        </w:rPr>
      </w:pPr>
      <w:r>
        <w:rPr>
          <w:rFonts w:ascii="仿宋_GB2312" w:hAnsi="宋体" w:eastAsia="仿宋_GB2312" w:cs="宋体"/>
          <w:color w:val="000000"/>
          <w:spacing w:val="-2"/>
          <w:kern w:val="0"/>
          <w:sz w:val="22"/>
          <w:szCs w:val="22"/>
          <w:shd w:val="clear" w:fill="FFFFFF"/>
          <w:vertAlign w:val="baseline"/>
          <w:lang w:val="en-US" w:eastAsia="zh-CN" w:bidi="ar"/>
        </w:rPr>
        <w:t>现将个别岗位招聘计划作如下调减：</w:t>
      </w:r>
    </w:p>
    <w:tbl>
      <w:tblPr>
        <w:tblW w:w="10733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1980"/>
        <w:gridCol w:w="1194"/>
        <w:gridCol w:w="1290"/>
        <w:gridCol w:w="1100"/>
        <w:gridCol w:w="1456"/>
        <w:gridCol w:w="1508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tblHeader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bookmarkStart w:id="0" w:name="_GoBack"/>
            <w:bookmarkEnd w:id="0"/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原招聘计划数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报名考生数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调减招聘计划数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调减后招聘人数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asciiTheme="minorHAnsi" w:hAnsiTheme="minorHAnsi" w:eastAsiaTheme="minorEastAsia" w:cstheme="minorBidi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射洪县人民医院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医学统计及相关专业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634002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射洪县人民医院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药学、临床药学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634007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射洪县人民医院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针灸推拿学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634008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射洪县人民医院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634010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射洪县中医院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护理学、护理类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634011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射洪县疾控中心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634012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射洪县妇幼保健院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634013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射洪县紫云社区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634014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射洪县紫云社区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中医学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634015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射洪县乡镇中心卫生院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634017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射洪县乡镇中心卫生院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麻醉学及相关专业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634020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射洪县乡镇中心卫生院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临床医学（妇幼方向）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634022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634025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预防医学及相关专业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634028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楷体_GB2312" w:hAnsi="宋体" w:eastAsia="楷体_GB2312" w:cs="楷体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射洪县乡镇卫生院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放射医学及相关专业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634029</w:t>
            </w:r>
          </w:p>
        </w:tc>
        <w:tc>
          <w:tcPr>
            <w:tcW w:w="12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25B4"/>
    <w:rsid w:val="3D1725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2015-11-26T07:32:00Z</dcterms:created>
  <dc:creator>Administrator</dc:creator>
  <cp:lastModifiedBy>Administrator</cp:lastModifiedBy>
  <dcterms:modified xsi:type="dcterms:W3CDTF">2015-11-26T08:21:34Z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