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方正小标宋简体" w:hAnsi="Calibri" w:eastAsia="方正小标宋简体" w:cs="Times New Roman"/>
          <w:kern w:val="2"/>
          <w:sz w:val="36"/>
          <w:szCs w:val="36"/>
          <w:lang w:val="en-US" w:eastAsia="zh-CN" w:bidi="ar"/>
        </w:rPr>
        <w:t>泸州市龙马潭区商务局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关于拟聘用电子商务服务中心工作人员名单</w:t>
      </w:r>
    </w:p>
    <w:tbl>
      <w:tblPr>
        <w:tblW w:w="7025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185"/>
        <w:gridCol w:w="1278"/>
        <w:gridCol w:w="146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税雪梅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91.8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第一名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陈亚菲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91.08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第二名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阮春燕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88.08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第三名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E1AE3"/>
    <w:rsid w:val="28FE1A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2015-11-26T07:17:00Z</dcterms:created>
  <dc:creator>Administrator</dc:creator>
  <cp:lastModifiedBy>Administrator</cp:lastModifiedBy>
  <dcterms:modified xsi:type="dcterms:W3CDTF">2015-11-26T07:19:47Z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