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AFC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AFCFF"/>
        </w:rPr>
        <w:t>防灾科技学院2016年人员招聘计划</w:t>
      </w:r>
    </w:p>
    <w:tbl>
      <w:tblPr>
        <w:tblW w:w="8095" w:type="dxa"/>
        <w:jc w:val="center"/>
        <w:tblInd w:w="2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70"/>
        <w:gridCol w:w="1030"/>
        <w:gridCol w:w="671"/>
        <w:gridCol w:w="849"/>
        <w:gridCol w:w="26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 业 要 求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地球物理学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结构工程/防灾减灾及防护工程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能够胜任钢结构、PKPM及有限元等课程的教学工作。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信息与通信工程/信号与信息处理/电子与信息工程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计算机软件与理论或计算机应用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有工程实践能力者优先考虑。社会在职人员要求具有高级职称。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计算机软件与理论或计算机应用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有工程实践能力者优先考虑。社会在职人员要求具有高级职称。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管理科学与工程/工商管理/企业管理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在职人员具有3年以上企业信息化项目管理实施经验者优先考虑。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会计学/财务管理/审计学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在职人员具有会计师或高级会计师或注册会计师资格者优先考虑。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应用数学/计算数学/运筹学与控制论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在职人员有大学教学经历、讲师以上职称者优先。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理论物理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在职人员有大学教学经历、讲师以上职称者优先。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具有一定教学或科研工作经验，高级职称。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会计、财务管理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有会计从业资格证优先。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会计、财务管理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有会计从业资格证优先。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情报学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/图书馆学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图书馆学科馆员。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与学院各本科专业相关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中共党员。学院毕业硕士研究生不受211大学条件限制。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高等教育学、教育经济与管理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有教学建设管理经验者优先，胜任教学建设管理工作。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新闻传播学、思想政治教育、汉语言文学等相关专业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中共党员，具有一定的运用新媒体的能力和水平，文字写作能力强。党委宣传部宣传管理。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本科学士以上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应届/社会在职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在职人员中级以上职称优先。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ascii="Calibri" w:hAnsi="Calibri" w:eastAsia="宋体" w:cs="Calibri"/>
          <w:b/>
          <w:i w:val="0"/>
          <w:caps w:val="0"/>
          <w:color w:val="343333"/>
          <w:spacing w:val="0"/>
          <w:kern w:val="0"/>
          <w:sz w:val="32"/>
          <w:szCs w:val="32"/>
          <w:u w:val="none"/>
          <w:bdr w:val="none" w:color="auto" w:sz="0" w:space="0"/>
          <w:shd w:val="clear" w:fill="FAFCFF"/>
          <w:lang w:val="en-US" w:eastAsia="zh-CN" w:bidi="ar"/>
        </w:rPr>
        <w:t>2016</w:t>
      </w:r>
      <w:r>
        <w:rPr>
          <w:rFonts w:hint="eastAsia" w:ascii="宋体" w:hAnsi="宋体" w:eastAsia="宋体" w:cs="宋体"/>
          <w:b/>
          <w:i w:val="0"/>
          <w:caps w:val="0"/>
          <w:color w:val="343333"/>
          <w:spacing w:val="0"/>
          <w:kern w:val="0"/>
          <w:sz w:val="32"/>
          <w:szCs w:val="32"/>
          <w:u w:val="none"/>
          <w:bdr w:val="none" w:color="auto" w:sz="0" w:space="0"/>
          <w:shd w:val="clear" w:fill="FAFCFF"/>
          <w:lang w:val="en-US" w:eastAsia="zh-CN" w:bidi="ar"/>
        </w:rPr>
        <w:t>年全职引进人员有关待遇</w:t>
      </w:r>
    </w:p>
    <w:tbl>
      <w:tblPr>
        <w:tblW w:w="8120" w:type="dxa"/>
        <w:jc w:val="center"/>
        <w:tblInd w:w="20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406"/>
        <w:gridCol w:w="1052"/>
        <w:gridCol w:w="1149"/>
        <w:gridCol w:w="1191"/>
        <w:gridCol w:w="21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6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学历、职称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安家费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0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万元以内工作用笔记本电脑一台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6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0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6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6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1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       明</w:t>
            </w: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、博士（硕士）指持有博士（硕士）研究生毕业证和学位证者，且第一学历必须为全日制本科（毕业学校原则上为“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”大学），本科专业与研究生专业相同或相近。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、博士研究生年龄一般在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周岁以下，配偶为国民教育全日制硕士研究生以上学历（或全日制本科学历以上中级职称）时，可考虑安排工作。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、学院引进博士研究生给予安家费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万元，提供科研启动金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万元，配备工作用笔记本电脑，可执行副高相关工资待遇。安家费试用期考核结束后支付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，工作一年后支付另外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。取得科研启动金时另行签订协议，不支付给个人。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、学院现有住房只租不售。享受安家费者可按市场价租住学院周转房一年，也可购租院外商品住房。不享受安家费者可租住学院周转房两年。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、引进人才系夫妻双方的，安家费按条件高的一方给付；学院已经为一方解决住房的，不再支付给另一方安家费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特殊情况面议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、参加面试或试讲者，学院决定聘用的，其往返交通费由学院承担；无法达成接收协议的，费用由应聘者承担。上述交通费指到学院的直线距离的硬座火车票或汽车票。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、硕士研究生月收入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元起。月收入指满工作量全年平均税前月收入水平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教师满工作量指每周教学工作量达到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、学院高层次优秀人才引进各项条件及待遇另行制订。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、被聘用人员实行聘用合同制，副高职以上人员及博士研究生首聘合同期限为八年，硕士研究生首聘合同期限为三年。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、上述待遇适用于学院引进全职工作人员，兼职人员不在此列。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9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、对上述各条款，学院保留最终解释权。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43333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343333"/>
          <w:spacing w:val="0"/>
          <w:kern w:val="0"/>
          <w:sz w:val="28"/>
          <w:szCs w:val="28"/>
          <w:u w:val="none"/>
          <w:bdr w:val="none" w:color="auto" w:sz="0" w:space="0"/>
          <w:shd w:val="clear" w:fill="FAFCFF"/>
          <w:lang w:val="en-US" w:eastAsia="zh-CN" w:bidi="ar"/>
        </w:rPr>
        <w:t>通讯地址：北京东燕郊开发区学院街 防灾科技学院人事处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43333"/>
          <w:spacing w:val="0"/>
          <w:kern w:val="0"/>
          <w:sz w:val="28"/>
          <w:szCs w:val="28"/>
          <w:u w:val="none"/>
          <w:bdr w:val="none" w:color="auto" w:sz="0" w:space="0"/>
          <w:shd w:val="clear" w:fill="FAFCFF"/>
          <w:lang w:val="en-US" w:eastAsia="zh-CN" w:bidi="ar"/>
        </w:rPr>
        <w:t>联 系 人：丁老师、陈老师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43333"/>
          <w:spacing w:val="0"/>
          <w:kern w:val="0"/>
          <w:sz w:val="28"/>
          <w:szCs w:val="28"/>
          <w:u w:val="none"/>
          <w:bdr w:val="none" w:color="auto" w:sz="0" w:space="0"/>
          <w:shd w:val="clear" w:fill="FAFCFF"/>
          <w:lang w:val="en-US" w:eastAsia="zh-CN" w:bidi="ar"/>
        </w:rPr>
        <w:t>联系电话：01061596171 01061596030 01061596170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43333"/>
          <w:spacing w:val="0"/>
          <w:kern w:val="0"/>
          <w:sz w:val="28"/>
          <w:szCs w:val="28"/>
          <w:u w:val="none"/>
          <w:bdr w:val="none" w:color="auto" w:sz="0" w:space="0"/>
          <w:shd w:val="clear" w:fill="FAFCFF"/>
          <w:lang w:val="en-US" w:eastAsia="zh-CN" w:bidi="ar"/>
        </w:rPr>
        <w:t>邮政编码：101601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43333"/>
          <w:spacing w:val="0"/>
          <w:kern w:val="0"/>
          <w:sz w:val="28"/>
          <w:szCs w:val="28"/>
          <w:u w:val="none"/>
          <w:bdr w:val="none" w:color="auto" w:sz="0" w:space="0"/>
          <w:shd w:val="clear" w:fill="FAFCFF"/>
          <w:lang w:val="en-US" w:eastAsia="zh-CN" w:bidi="ar"/>
        </w:rPr>
        <w:t>电子信箱：</w:t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instrText xml:space="preserve"> HYPERLINK "mailto:rencai2015@cidp.edu.cn"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separate"/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AFCFF"/>
          <w:lang w:val="en-US"/>
        </w:rPr>
        <w:t>rencai201</w:t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instrText xml:space="preserve"> HYPERLINK "mailto:rencai2015@cidp.edu.cn"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separate"/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AFCFF"/>
          <w:lang w:val="en-US"/>
        </w:rPr>
        <w:t>6@cidp.edu.cn</w:t>
      </w:r>
      <w:r>
        <w:rPr>
          <w:rFonts w:hint="eastAsia" w:ascii="仿宋" w:hAnsi="仿宋" w:eastAsia="仿宋" w:cs="仿宋"/>
          <w:b w:val="0"/>
          <w:i w:val="0"/>
          <w:caps w:val="0"/>
          <w:color w:val="0000CC"/>
          <w:spacing w:val="0"/>
          <w:kern w:val="0"/>
          <w:sz w:val="24"/>
          <w:szCs w:val="24"/>
          <w:u w:val="none"/>
          <w:bdr w:val="none" w:color="auto" w:sz="0" w:space="0"/>
          <w:shd w:val="clear" w:fill="FAFCFF"/>
          <w:lang w:val="en-US" w:eastAsia="zh-CN" w:bidi="ar"/>
        </w:rPr>
        <w:fldChar w:fldCharType="end"/>
      </w: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AFC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9285A"/>
    <w:rsid w:val="0A1928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2015-12-09T07:46:00Z</dcterms:created>
  <dc:creator>Administrator</dc:creator>
  <cp:lastModifiedBy>Administrator</cp:lastModifiedBy>
  <dcterms:modified xsi:type="dcterms:W3CDTF">2015-12-09T07:47:13Z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