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56" w:rsidRPr="00500656" w:rsidRDefault="00500656" w:rsidP="00500656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464646"/>
          <w:kern w:val="0"/>
          <w:sz w:val="18"/>
          <w:szCs w:val="18"/>
        </w:rPr>
      </w:pPr>
      <w:r w:rsidRPr="00500656">
        <w:rPr>
          <w:rFonts w:ascii="Arial" w:eastAsia="宋体" w:hAnsi="Arial" w:cs="Arial"/>
          <w:b/>
          <w:bCs/>
          <w:color w:val="464646"/>
          <w:kern w:val="0"/>
          <w:sz w:val="28"/>
          <w:szCs w:val="28"/>
        </w:rPr>
        <w:t>（一）教师岗位</w:t>
      </w:r>
      <w:r w:rsidRPr="00500656">
        <w:rPr>
          <w:rFonts w:ascii="Arial" w:eastAsia="宋体" w:hAnsi="Arial" w:cs="Arial"/>
          <w:b/>
          <w:bCs/>
          <w:color w:val="464646"/>
          <w:kern w:val="0"/>
          <w:sz w:val="28"/>
          <w:szCs w:val="28"/>
        </w:rPr>
        <w:t xml:space="preserve"> 34</w:t>
      </w:r>
      <w:r w:rsidRPr="00500656">
        <w:rPr>
          <w:rFonts w:ascii="Arial" w:eastAsia="宋体" w:hAnsi="Arial" w:cs="Arial"/>
          <w:b/>
          <w:bCs/>
          <w:color w:val="464646"/>
          <w:kern w:val="0"/>
          <w:sz w:val="28"/>
          <w:szCs w:val="28"/>
        </w:rPr>
        <w:t>人</w:t>
      </w:r>
    </w:p>
    <w:tbl>
      <w:tblPr>
        <w:tblW w:w="8647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636"/>
        <w:gridCol w:w="640"/>
        <w:gridCol w:w="1843"/>
        <w:gridCol w:w="709"/>
        <w:gridCol w:w="4819"/>
      </w:tblGrid>
      <w:tr w:rsidR="00500656" w:rsidRPr="00500656" w:rsidTr="00500656">
        <w:trPr>
          <w:trHeight w:val="873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人数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岗位要求</w:t>
            </w:r>
          </w:p>
        </w:tc>
      </w:tr>
      <w:tr w:rsidR="00500656" w:rsidRPr="00500656" w:rsidTr="00500656">
        <w:trPr>
          <w:trHeight w:val="21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JS01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数学基础课本科教学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“211”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高校的硕士及以上学位，本、</w:t>
            </w:r>
            <w:proofErr w:type="gramStart"/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硕专业</w:t>
            </w:r>
            <w:proofErr w:type="gramEnd"/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均为应用数学及相关专业；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、能够讲授高等数学、线性代数、概率统计、数学模型等课程。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、取得博士学位优先。</w:t>
            </w:r>
          </w:p>
        </w:tc>
      </w:tr>
      <w:tr w:rsidR="00500656" w:rsidRPr="00500656" w:rsidTr="00500656">
        <w:trPr>
          <w:trHeight w:val="169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JS02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从事到大学物理和大学物理实验课程教学，开展大学物理、大学物理实验教学研究。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ind w:left="360" w:hanging="360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博士学位或副教授及以上职称；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ind w:left="360" w:hanging="360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能够讲授大学物理和大学物理实验等课程。</w:t>
            </w:r>
          </w:p>
        </w:tc>
      </w:tr>
      <w:tr w:rsidR="00500656" w:rsidRPr="00500656" w:rsidTr="00500656">
        <w:trPr>
          <w:trHeight w:val="368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JS03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土木工程（建筑工程）专业教学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“211”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“985”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高校的硕士及以上学位，结构工程及相关专业；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、能主讲《混凝土结构设计原理》、《混凝土结构设计》、《建筑结构抗震设计》、《高层建筑结构设计》等结构设计类专业课程并能熟练应用结构设计软件；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、具有下列条件之一者优先：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）博士学位；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）具有副教授及以上职称；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）设计院两年以上相关工作经验；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4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）具有注册结构工程师等执业资格。</w:t>
            </w:r>
          </w:p>
        </w:tc>
      </w:tr>
      <w:tr w:rsidR="00500656" w:rsidRPr="00500656" w:rsidTr="00500656">
        <w:trPr>
          <w:trHeight w:val="395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lastRenderedPageBreak/>
              <w:t>JS04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土木工程（建筑工程）和工程管理专业教学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“211”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“985”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高校的硕士及以上学位，土木工程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(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土木工程建造与管理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)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、管理科学与工程及相关专业；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、能主讲《土木工程施工技术》、《土木工程施工组织与管理》、《建设工程质量分析与安全管理》、《工程项目管理》、《工程合同管理》、《工程投资与决策》、《工程成本规划与控制》等专业课程；　　　　　　　　　　　　　　　　　　　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  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、具有下列条件之一者优先：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）博士学位；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）具有副教授及以上职称；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）两年以上相关工作经验；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4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）具有注册监理工程师、建造师等执业资格。</w:t>
            </w:r>
          </w:p>
        </w:tc>
      </w:tr>
      <w:tr w:rsidR="00500656" w:rsidRPr="00500656" w:rsidTr="00500656">
        <w:trPr>
          <w:trHeight w:val="367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JS05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工程造价专业教学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“211”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“985”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高校的硕士及以上学位，土木工程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(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土木工程建造与管理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)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、管理科学与工程、工程财务与造价管理及相关专业；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、能主讲《建筑会计》、《工程造价管理》、《工程造价审计》、《工程造价（土建、装饰、安装、水电）》等专业课程并能熟练应用计量计价软件；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、具有下列条件之一者优先：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）博士学位；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）具有副教授及以上职称；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）两年以上相关工作经验；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4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）具有注册</w:t>
            </w:r>
            <w:proofErr w:type="gramStart"/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造价师</w:t>
            </w:r>
            <w:proofErr w:type="gramEnd"/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等执业资格。</w:t>
            </w:r>
          </w:p>
        </w:tc>
      </w:tr>
      <w:tr w:rsidR="00500656" w:rsidRPr="00500656" w:rsidTr="00500656">
        <w:trPr>
          <w:trHeight w:val="396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lastRenderedPageBreak/>
              <w:t>JS06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财务管理专业教学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“211”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“985”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高校的硕士及以上学位，本、</w:t>
            </w:r>
            <w:proofErr w:type="gramStart"/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硕专业</w:t>
            </w:r>
            <w:proofErr w:type="gramEnd"/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均为财务管理、会计学、</w:t>
            </w:r>
            <w:proofErr w:type="gramStart"/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审计学</w:t>
            </w:r>
            <w:proofErr w:type="gramEnd"/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及相关专业；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、能主讲《财务管理学》、《管理会计》、《高级财务管理》、《财务报表呈报与分析》、《财务管理案例分析》、《审计学》、《资产评估》等专业课程；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、具有下列条件之一者优先：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）博士学位；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）具有副教授及以上职称；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）企业财务管理实务两年以上相关工作经验；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4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）会计事务所实务两年以上相关工作经验；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5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）具有注册会计师、注册资产品故事、中国（准）精算师、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ACCA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CMA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等执业资格。</w:t>
            </w:r>
          </w:p>
        </w:tc>
      </w:tr>
      <w:tr w:rsidR="00500656" w:rsidRPr="00500656" w:rsidTr="00500656">
        <w:trPr>
          <w:trHeight w:val="31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JS07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国际经济与贸易专业教学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、硕士及以上学位；本、硕均为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“211”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重点大学国际贸易专业毕业；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、能主讲《报关实务》、《国际货代实务》、《跨境电商实务》等专业课程；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、具有下列条件之一者优先：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）双语教学；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）有相关工作经历；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）博士学位；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4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）具有副教授及以上职称。</w:t>
            </w:r>
          </w:p>
        </w:tc>
      </w:tr>
      <w:tr w:rsidR="00500656" w:rsidRPr="00500656" w:rsidTr="00500656">
        <w:trPr>
          <w:trHeight w:val="226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lastRenderedPageBreak/>
              <w:t>JS08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材料成型（模具）专业教学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、硕士及以上学位；本科阶段要求材料成型（模具）专业毕业；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、能主讲冲压工艺与模具设计、塑料成型工艺与模具设计、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UG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或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pro/E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软件等课程；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、具有中级职称者优先。</w:t>
            </w:r>
          </w:p>
        </w:tc>
      </w:tr>
      <w:tr w:rsidR="00500656" w:rsidRPr="00500656" w:rsidTr="00500656">
        <w:trPr>
          <w:trHeight w:val="183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JS09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车辆工程专业教学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、硕士及以上学位；本科阶段要求车辆工程专业毕业；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、能主讲汽车电子控制系统、汽车性能与检测、汽车设计、汽车拆装与维修等课程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、具有中级职称者优先。</w:t>
            </w:r>
          </w:p>
        </w:tc>
      </w:tr>
      <w:tr w:rsidR="00500656" w:rsidRPr="00500656" w:rsidTr="00500656">
        <w:trPr>
          <w:trHeight w:val="226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JS10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动画（建筑）专业教学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、具有下列条件之一者：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）建筑动画专业本科毕业，动画、环境设计等相关专业硕士及以上学位；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）建筑动画专业本科毕业，具有两年以上工作经验；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、能主讲建筑动画专业的主干课；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、具有高校教师教学和工程实践经验者优先考虑。</w:t>
            </w:r>
          </w:p>
        </w:tc>
      </w:tr>
      <w:tr w:rsidR="00500656" w:rsidRPr="00500656" w:rsidTr="00500656">
        <w:trPr>
          <w:trHeight w:val="281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JS11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风景园林专业教学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、具有下列条件之一者：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）园林、景观相关专业本科毕业，建筑学、城乡规划、工程管理相关专业硕士及以上学位或中级职称及以上；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（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）风景园林专业本科毕业，具有两年以上设计院工作经验；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、能主讲风景园林专业的主干课和园林工程一门以上主要专业课；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、具有高校教师教学和工程实践经验者优先考虑。</w:t>
            </w:r>
          </w:p>
        </w:tc>
      </w:tr>
      <w:tr w:rsidR="00500656" w:rsidRPr="00500656" w:rsidTr="00500656">
        <w:trPr>
          <w:trHeight w:val="225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lastRenderedPageBreak/>
              <w:t>JS12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药事管理专业教学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、药事管理硕士及以上研究生；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、能主讲药事法规、临床药学、药物经济学、新药注册及知识产权等药事管理专业课程，能指导相关实践教学环节比如专业实验、实习、课程设计、毕业论文等；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3.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热爱教学工作，具备良好的职业素养及团队合作精神，工作积极主动，具较强的组织管理和表达能力。</w:t>
            </w:r>
          </w:p>
        </w:tc>
      </w:tr>
      <w:tr w:rsidR="00500656" w:rsidRPr="00500656" w:rsidTr="00500656">
        <w:trPr>
          <w:trHeight w:val="226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JS13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制药工程专业教学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、制药工程等相关专业博士研究生；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能主讲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“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药物化学、药物合成反应、制药工艺学、制药工程学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”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等制药工程专业课程，能指导相关实践教学环节如专业实验、实习、课程设计、毕业论文等；　　　　　　　　　　　　　　　　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3.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热爱教学工作，具备良好的职业素养及团队合作精神，工作积极主动，具较强的组织管理和表达能力。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.</w:t>
            </w:r>
          </w:p>
        </w:tc>
      </w:tr>
      <w:tr w:rsidR="00500656" w:rsidRPr="00500656" w:rsidTr="00500656">
        <w:trPr>
          <w:trHeight w:val="226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JS14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计算机专业教学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、具有计算机专业博士学位，或具有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年以上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IT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企业工作经验的硕士，或具有高级职称的计算机专业高校教师。　　　　　　　　　　　　　　　　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 xml:space="preserve"> 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、能主讲软件体系结构、编译原理、软件设计模式等专业课程。</w:t>
            </w:r>
          </w:p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3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  <w:t>、热爱教学工作，具备良好的职业素养及团队合作精神，工作积极主动，具有较强的组织管理和表达能力。</w:t>
            </w:r>
          </w:p>
        </w:tc>
      </w:tr>
    </w:tbl>
    <w:p w:rsidR="00500656" w:rsidRPr="00500656" w:rsidRDefault="00500656" w:rsidP="00500656">
      <w:pPr>
        <w:widowControl/>
        <w:shd w:val="clear" w:color="auto" w:fill="FFFFFF"/>
        <w:spacing w:before="100" w:beforeAutospacing="1" w:after="100" w:afterAutospacing="1" w:line="300" w:lineRule="auto"/>
        <w:jc w:val="left"/>
        <w:rPr>
          <w:rFonts w:ascii="Arial" w:eastAsia="宋体" w:hAnsi="Arial" w:cs="Arial"/>
          <w:color w:val="464646"/>
          <w:kern w:val="0"/>
          <w:sz w:val="18"/>
          <w:szCs w:val="18"/>
        </w:rPr>
      </w:pPr>
      <w:r w:rsidRPr="00500656">
        <w:rPr>
          <w:rFonts w:ascii="Arial" w:eastAsia="宋体" w:hAnsi="Arial" w:cs="Arial"/>
          <w:b/>
          <w:bCs/>
          <w:color w:val="464646"/>
          <w:kern w:val="0"/>
          <w:sz w:val="28"/>
          <w:szCs w:val="28"/>
        </w:rPr>
        <w:t>（二）教辅岗位</w:t>
      </w:r>
      <w:r w:rsidRPr="00500656">
        <w:rPr>
          <w:rFonts w:ascii="Arial" w:eastAsia="宋体" w:hAnsi="Arial" w:cs="Arial"/>
          <w:b/>
          <w:bCs/>
          <w:color w:val="464646"/>
          <w:kern w:val="0"/>
          <w:sz w:val="28"/>
          <w:szCs w:val="28"/>
        </w:rPr>
        <w:t>2</w:t>
      </w:r>
      <w:r w:rsidRPr="00500656">
        <w:rPr>
          <w:rFonts w:ascii="Arial" w:eastAsia="宋体" w:hAnsi="Arial" w:cs="Arial"/>
          <w:b/>
          <w:bCs/>
          <w:color w:val="464646"/>
          <w:kern w:val="0"/>
          <w:sz w:val="28"/>
          <w:szCs w:val="28"/>
        </w:rPr>
        <w:t>人</w:t>
      </w:r>
    </w:p>
    <w:tbl>
      <w:tblPr>
        <w:tblW w:w="8647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750"/>
        <w:gridCol w:w="821"/>
        <w:gridCol w:w="1588"/>
        <w:gridCol w:w="706"/>
        <w:gridCol w:w="4782"/>
      </w:tblGrid>
      <w:tr w:rsidR="00500656" w:rsidRPr="00500656" w:rsidTr="00500656">
        <w:trPr>
          <w:trHeight w:val="703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22"/>
              </w:rPr>
              <w:t>岗位代码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22"/>
              </w:rPr>
              <w:t>岗位名称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22"/>
              </w:rPr>
              <w:t>岗位职责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22"/>
              </w:rPr>
              <w:t>人数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22"/>
              </w:rPr>
              <w:t>岗位要求</w:t>
            </w:r>
          </w:p>
        </w:tc>
      </w:tr>
      <w:tr w:rsidR="00500656" w:rsidRPr="00500656" w:rsidTr="00500656">
        <w:trPr>
          <w:trHeight w:val="198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24"/>
                <w:szCs w:val="24"/>
              </w:rPr>
              <w:t>JF01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22"/>
              </w:rPr>
              <w:t>实验员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22"/>
              </w:rPr>
              <w:t>化工类实验指导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656" w:rsidRPr="00500656" w:rsidRDefault="00500656" w:rsidP="00500656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500656">
              <w:rPr>
                <w:rFonts w:ascii="Arial" w:eastAsia="宋体" w:hAnsi="Arial" w:cs="Arial"/>
                <w:color w:val="464646"/>
                <w:kern w:val="0"/>
                <w:sz w:val="22"/>
              </w:rPr>
              <w:t>1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22"/>
              </w:rPr>
              <w:t xml:space="preserve">、化工与制药专业类硕士及以上学位；　　　　　　　　　　　　　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22"/>
              </w:rPr>
              <w:t xml:space="preserve"> 2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22"/>
              </w:rPr>
              <w:t xml:space="preserve">、能主带化工专业和制药专业工程实践类课程，指导相关实践教学环节，包括专业实验、实习、实训和创新实践等。　　　　　</w:t>
            </w:r>
            <w:r w:rsidRPr="00500656">
              <w:rPr>
                <w:rFonts w:ascii="Arial" w:eastAsia="宋体" w:hAnsi="Arial" w:cs="Arial"/>
                <w:color w:val="464646"/>
                <w:kern w:val="0"/>
                <w:sz w:val="22"/>
              </w:rPr>
              <w:t xml:space="preserve"> </w:t>
            </w:r>
          </w:p>
        </w:tc>
      </w:tr>
    </w:tbl>
    <w:p w:rsidR="00500656" w:rsidRPr="00500656" w:rsidRDefault="00500656" w:rsidP="00500656">
      <w:pPr>
        <w:widowControl/>
        <w:shd w:val="clear" w:color="auto" w:fill="FFFFFF"/>
        <w:spacing w:before="100" w:beforeAutospacing="1" w:after="100" w:afterAutospacing="1" w:line="300" w:lineRule="auto"/>
        <w:jc w:val="left"/>
        <w:rPr>
          <w:rFonts w:ascii="Arial" w:eastAsia="宋体" w:hAnsi="Arial" w:cs="Arial"/>
          <w:color w:val="464646"/>
          <w:kern w:val="0"/>
          <w:sz w:val="18"/>
          <w:szCs w:val="18"/>
        </w:rPr>
      </w:pPr>
      <w:r w:rsidRPr="00500656">
        <w:rPr>
          <w:rFonts w:ascii="Arial" w:eastAsia="宋体" w:hAnsi="Arial" w:cs="Arial"/>
          <w:b/>
          <w:bCs/>
          <w:color w:val="464646"/>
          <w:kern w:val="0"/>
          <w:sz w:val="32"/>
          <w:szCs w:val="32"/>
        </w:rPr>
        <w:lastRenderedPageBreak/>
        <w:t>（三）管理岗位计划稍后发布，敬请关注。</w:t>
      </w:r>
    </w:p>
    <w:p w:rsidR="0025573E" w:rsidRPr="00500656" w:rsidRDefault="0025573E"/>
    <w:sectPr w:rsidR="0025573E" w:rsidRPr="00500656" w:rsidSect="00255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656"/>
    <w:rsid w:val="0025573E"/>
    <w:rsid w:val="0050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54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382</Words>
  <Characters>2184</Characters>
  <Application>Microsoft Office Word</Application>
  <DocSecurity>0</DocSecurity>
  <Lines>18</Lines>
  <Paragraphs>5</Paragraphs>
  <ScaleCrop>false</ScaleCrop>
  <Company>微软中国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2015-12-15T05:51:00Z</dcterms:created>
  <dcterms:modified xsi:type="dcterms:W3CDTF">2015-12-15T05:52:00Z</dcterms:modified>
</cp:coreProperties>
</file>