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15398"/>
      </w:tblGrid>
      <w:tr w:rsidR="00C22AF7" w:rsidRPr="00C22AF7" w:rsidTr="00C22AF7">
        <w:trPr>
          <w:trHeight w:val="4500"/>
          <w:tblCellSpacing w:w="0" w:type="dxa"/>
          <w:jc w:val="center"/>
        </w:trPr>
        <w:tc>
          <w:tcPr>
            <w:tcW w:w="0" w:type="auto"/>
            <w:shd w:val="clear" w:color="auto" w:fill="FFFFFF"/>
            <w:hideMark/>
          </w:tcPr>
          <w:tbl>
            <w:tblPr>
              <w:tblW w:w="4500" w:type="pct"/>
              <w:jc w:val="center"/>
              <w:tblCellSpacing w:w="0" w:type="dxa"/>
              <w:tblCellMar>
                <w:left w:w="0" w:type="dxa"/>
                <w:right w:w="0" w:type="dxa"/>
              </w:tblCellMar>
              <w:tblLook w:val="04A0"/>
            </w:tblPr>
            <w:tblGrid>
              <w:gridCol w:w="15398"/>
            </w:tblGrid>
            <w:tr w:rsidR="00C22AF7" w:rsidRPr="00C22AF7">
              <w:trPr>
                <w:tblCellSpacing w:w="0" w:type="dxa"/>
                <w:jc w:val="center"/>
              </w:trPr>
              <w:tc>
                <w:tcPr>
                  <w:tcW w:w="0" w:type="auto"/>
                  <w:hideMark/>
                </w:tcPr>
                <w:p w:rsidR="00C22AF7" w:rsidRPr="00C22AF7" w:rsidRDefault="00C22AF7" w:rsidP="00C22AF7">
                  <w:pPr>
                    <w:adjustRightInd/>
                    <w:snapToGrid/>
                    <w:spacing w:after="0" w:line="330" w:lineRule="atLeast"/>
                    <w:rPr>
                      <w:rFonts w:asciiTheme="majorEastAsia" w:eastAsiaTheme="majorEastAsia" w:hAnsiTheme="majorEastAsia" w:cs="宋体"/>
                      <w:color w:val="000000"/>
                      <w:spacing w:val="-4"/>
                      <w:sz w:val="24"/>
                      <w:szCs w:val="24"/>
                    </w:rPr>
                  </w:pPr>
                </w:p>
                <w:tbl>
                  <w:tblPr>
                    <w:tblW w:w="1594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1080"/>
                    <w:gridCol w:w="1081"/>
                    <w:gridCol w:w="1021"/>
                    <w:gridCol w:w="4098"/>
                    <w:gridCol w:w="675"/>
                    <w:gridCol w:w="886"/>
                    <w:gridCol w:w="1891"/>
                    <w:gridCol w:w="5208"/>
                  </w:tblGrid>
                  <w:tr w:rsidR="00C22AF7" w:rsidRPr="00C22AF7" w:rsidTr="00C22AF7">
                    <w:trPr>
                      <w:trHeight w:val="450"/>
                    </w:trPr>
                    <w:tc>
                      <w:tcPr>
                        <w:tcW w:w="15930" w:type="dxa"/>
                        <w:gridSpan w:val="8"/>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before="100" w:beforeAutospacing="1" w:after="100" w:afterAutospacing="1"/>
                          <w:jc w:val="center"/>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青海省2015年公安机关（森林公安）招录人民警察调剂补录职位计划表</w:t>
                        </w:r>
                      </w:p>
                    </w:tc>
                  </w:tr>
                  <w:tr w:rsidR="00C22AF7" w:rsidRPr="00C22AF7" w:rsidTr="00C22AF7">
                    <w:trPr>
                      <w:trHeight w:val="480"/>
                    </w:trPr>
                    <w:tc>
                      <w:tcPr>
                        <w:tcW w:w="108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序号</w:t>
                        </w:r>
                      </w:p>
                    </w:tc>
                    <w:tc>
                      <w:tcPr>
                        <w:tcW w:w="2100" w:type="dxa"/>
                        <w:gridSpan w:val="2"/>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考录单位</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职位名称</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考录人数</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职位代码</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专业或专业门类</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所需资格条件</w:t>
                        </w:r>
                      </w:p>
                    </w:tc>
                  </w:tr>
                  <w:tr w:rsidR="00C22AF7" w:rsidRPr="00C22AF7" w:rsidTr="00C22AF7">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定向公安院校公安专业（49人）</w:t>
                        </w: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省林业厅（2人）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省三江源国家级自然保护区森林公安局阿尼玛卿保护分区森林公安派出所民警（果洛州玛沁县雪山乡）</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玛可河森林公安分局民警（1）（果洛州班玛县）</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西宁市（3人）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西宁市公安机关基层一线专业侦察队民警(湟源县1名)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0101001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国民教育全日制大学专科及以上学历，30周岁以下,男性。</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西宁市森林公安局基层派出所外勤民警（大通县森林公安局东峡派出所1名，湟源县1名）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0101002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海东市（4人）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海东市公安机关基层一线专业侦察队民警（化隆县1名，循化县1名）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2101001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国民教育大学专科及以上学历，30周岁以下，男性。</w:t>
                        </w:r>
                      </w:p>
                    </w:tc>
                  </w:tr>
                  <w:tr w:rsidR="00C22AF7" w:rsidRPr="00C22AF7" w:rsidTr="00C22AF7">
                    <w:trPr>
                      <w:trHeight w:val="72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海东市森林公安局派出所民警（互助县森林公安局北山林区派出所1名，循化县森林公安局尕楞林区派出所1名）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2101002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海北州（2人）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海北州刚察县公安局派出所民警（1）</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2201001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国民教育大学专科及以上学历，30周岁以下，海北州户籍,具有藏语口语交流能力。</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海北州海晏县森林公安局民警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2201002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海南州（7人）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海南州公安局基层派出所民警（兴海县1名，同德县1名）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海南州贵南县公安局基层派出所民警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国民教育大学专科及以上学历，30周岁以下，海南州户籍或海南州生源。</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海南州贵德县公安局基层派出所民警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2501003</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国民教育大学专科及以上学历，30周岁以下，具有藏语口语交流能力，海南州户籍或海南州生源。</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海南州共和县森林公安局基层林区派出所民警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2501004</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海南州兴海县森林公安局基层林区派出所民警（1）</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2501005</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国民教育全日制大学专科及以上学历，30周岁以下，海南州户籍或海南州生源。</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黄南州（9人）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黄南州公安局基层派出所民警（1）（河南县2名，泽库县1名）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3</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黄南州公安局基层派出所民警（2）（河南县2名，泽库县2名）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国民教育全日制大学专科及以上学历，30周岁以下，黄南州户籍或黄南州生源，具有藏语口语交流能力。</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黄南州同仁县森林公安局西卜沙派出所民警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2301003</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黄南州泽库县森林公安局泽曲派出所民警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2301004</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果洛州玛多县公安局基层派出所民警(1)</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果洛州玛多县公安局基层派出所民警(2)</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国民教育大学专科及以上学历，30周岁以下，果洛州户籍，具有藏语口语交流能力。</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玉树州（6人）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玉树州公安局基层派出所民警（1）（治多县1名，曲麻莱县2名）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3</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国民教育大学专科及以上学历，30周岁以下，具有藏语（康巴语）口语交流能力，玉树州户籍。</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玉树州公安局基层派出所民警（2）（囊谦县1名，杂多县1名，治多县1名）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3</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海西州（14人）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海西州茫崖行委公安局环疆公安检查站民警（1）</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7</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国民教育大学专科及以上学历，30周岁以下，海西州户籍，长期在高海拔地区工作，适合男性。</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海西州茫崖行委公安局环疆公安检查站民警（2）</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2801002</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国民教育大学专科及以上学历，30周岁以下，长期在高海拔地区工作，适合男性。</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海西州茫崖行委公安局刑事侦查民警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2801003</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公安院校公安专业</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面向社会（40人）</w:t>
                        </w: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省林业厅（2人）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玛可河森林公安分局民警（2）（果洛州班玛县）</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6302003</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国民教育全日制大学专科及以上学历，30周岁以下，具有藏语口语交流能力。</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海北州（1人）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海北州刚察县公安局派出所民警（2）</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2201003</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海南州（3人）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海南州县级公安机关基层一线专业侦察队民警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3</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2501006</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国民教育大学专科及以上学历，30周岁以下，男性。</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黄南州（8人）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黄南州同仁县公安局基层派出所民警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3</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2301005</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黄南州河南县公安局基层派出所民警（1）</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2301006</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国民教育全日制大学专科及以上学历，30周岁以下，黄南州户籍或黄南州生源，具有藏语口语交流能力。</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黄南州尖扎县森林公安局坎布拉派出所民警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2301007</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果洛州（10人）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果洛州县级公安机关刑事侦查民警（1）（班玛县2名，甘德县1名，玛多县1名）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2601003</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国民教育大学专科及以上学历，30周岁以下，果洛州户籍，具有藏语口语交流能力。</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果洛州班玛县公安局基层派出所民警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2601004</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果洛州县级公安机关刑事侦查民警（2）（甘德县1名，玛多县1名）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2601005</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果洛州久治县公安局基层派出所民警（1）</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2601006</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国民教育大学专科及以上学历，30周岁以下，果洛州户籍，具有藏语口语交流能力。</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果洛州公安机关基层一线侦查队民警（玛多县2名）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2601007</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国民教育大学专科及以上学历，30周岁以下，男性。</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玉树州（10人）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玉树州囊谦县公安局基层派出所民警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2701003</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国民教育大学专科及以上学历，30周岁以下，具有藏语（康巴语）口语交流能力，玉树州户籍。</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玉树州公安局基层派出所民警（3）（囊谦县2名，杂多县3名）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5</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2701004</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玉树州曲麻莱县公安局基层派出所民警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2701005</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国民教育大学专科及以上学历，30周岁以下，具有藏语（康巴语）口语交流能力，玉树州户籍。</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玉树州治多县公安局基层派出所民警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2701006</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国民教育大学专科及以上学历，30周岁以下，具有藏语（康巴语）口语交流能力，玉树州户籍。</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海西州（6人）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海西州都兰县公安局刑事侦查民警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2801004</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国民教育全日制大学专科及以上学历，30周岁以下，海西州户籍。</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海西州都兰县森林公安局基层民警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2801005</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海西州各县公安局刑事侦查民警（都兰县1名，天峻县1名，油沙山2名）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2801006</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w:t>
                        </w:r>
                      </w:p>
                    </w:tc>
                  </w:tr>
                  <w:tr w:rsidR="00C22AF7" w:rsidRPr="00C22AF7" w:rsidTr="00C22AF7">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3</w:t>
                        </w:r>
                      </w:p>
                    </w:tc>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定向退役士兵（33</w:t>
                        </w:r>
                        <w:r w:rsidRPr="00C22AF7">
                          <w:rPr>
                            <w:rFonts w:asciiTheme="majorEastAsia" w:eastAsiaTheme="majorEastAsia" w:hAnsiTheme="majorEastAsia" w:cs="宋体"/>
                            <w:sz w:val="24"/>
                            <w:szCs w:val="24"/>
                          </w:rPr>
                          <w:lastRenderedPageBreak/>
                          <w:t>人）</w:t>
                        </w: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lastRenderedPageBreak/>
                          <w:t>省林业厅（6人）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省三江源国家级自然保护区森林公安局白扎保护分区森林公安派出所民警（玉</w:t>
                        </w:r>
                        <w:r w:rsidRPr="00C22AF7">
                          <w:rPr>
                            <w:rFonts w:asciiTheme="majorEastAsia" w:eastAsiaTheme="majorEastAsia" w:hAnsiTheme="majorEastAsia" w:cs="宋体"/>
                            <w:sz w:val="24"/>
                            <w:szCs w:val="24"/>
                          </w:rPr>
                          <w:lastRenderedPageBreak/>
                          <w:t>树州囊谦县白扎乡）</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lastRenderedPageBreak/>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6302004</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72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省三江源国家级自然保护区森林公安局东仲保护分区森林公安派出所民警(玉树州玉树市结古镇)</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6302005</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72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省三江源国家级自然保护区森林公安局索加-曲麻河保护分区森林公安派出所民警(玉树州治多县加吉博洛镇)</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6302006</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72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省三江源国家级自然保护区森林公安局约古宗列保护分区森林公安派出所民警(玉树州曲麻莱县约改镇)</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6302007</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玛可河森林公安分局民警（3）（果洛州班玛县）</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6302008</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海北州（1人）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海北州刚察县公安局派出所民警（3）</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2201004</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海南州兴海县公安局基层派出所民警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2501007</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海南州兴海县森林公安局基层林区派出所民警（2）</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2501008</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黄南州（4人）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黄南州公安局基层派出所民警（3）（河南县3名，同仁县1名）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2301008</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果洛州（7人）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果洛州公安局基层派出所民警（1）（班玛县2名，甘德县2名）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2601008</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果洛州公安局基层派出所民警（2）（久治县1名，玛多县1名）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2601009</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果洛州久治县公安局刑事侦查民警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2601010</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玉树州（9人）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玉树州公安局基层派出所民警（4）（囊谦县2名，曲麻莱县2名）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2701007</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玉树州公安局基层派出所民警（5）（杂多县2名，治多县2名）</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4</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2701008</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玉树州治多县森林公安局基层民警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2701009</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海西州（4人）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海西州大柴旦行委公安局基层派出所民警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2801007</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rPr>
                      <w:trHeight w:val="27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海西州天峻县公安局治安管理民警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2801008</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高中及以上学历，30周岁以下。</w:t>
                        </w:r>
                      </w:p>
                    </w:tc>
                  </w:tr>
                  <w:tr w:rsidR="00C22AF7" w:rsidRPr="00C22AF7" w:rsidTr="00C22AF7">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lastRenderedPageBreak/>
                          <w:t>10</w:t>
                        </w:r>
                      </w:p>
                    </w:tc>
                    <w:tc>
                      <w:tcPr>
                        <w:tcW w:w="108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面向大学生“村官”等服务基层项目人员（10人）</w:t>
                        </w: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省林业厅（1人）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玛可河森林公安分局民警（4）（果洛州班玛县）</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6302009</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国民教育全日制大学专科及以上学历，30周岁以下，大学生村官等服务基层项目的人员。</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黄南州河南县公安局基层派出所民警（2）</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2301009</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国民教育大学专科及以上学历，30周岁以下，在黄南州服务大学生村官等服务基层项目的人员。</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果洛州久治县公安局基层派出所民警（2）</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2601011</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国民教育大学专科及以上学历，30周岁以下，在果洛州服务大学生村官等服务基层项目的人员。</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玉树州（2人）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玉树州称多县公安局基层派出所民警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2701010</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国民教育大学专科及以上学历，30周岁以下，在玉树州服务大学生村官等服务基层项目的人员。</w:t>
                        </w:r>
                      </w:p>
                    </w:tc>
                  </w:tr>
                  <w:tr w:rsidR="00C22AF7" w:rsidRPr="00C22AF7" w:rsidTr="00C22AF7">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1020" w:type="dxa"/>
                        <w:vMerge w:val="restart"/>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海西州（3人）</w:t>
                        </w: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海西州天峻县公安局基层派出所民警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2801009</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国民教育大学专科及以上学历，30周岁以下，在海西州服务大学生村官等服务基层项目的人员。</w:t>
                        </w:r>
                      </w:p>
                    </w:tc>
                  </w:tr>
                  <w:tr w:rsidR="00C22AF7" w:rsidRPr="00C22AF7" w:rsidTr="00C22AF7">
                    <w:trPr>
                      <w:trHeight w:val="480"/>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p>
                    </w:tc>
                    <w:tc>
                      <w:tcPr>
                        <w:tcW w:w="409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海西州乌兰县公安局刑事侦查民警</w:t>
                        </w:r>
                      </w:p>
                    </w:tc>
                    <w:tc>
                      <w:tcPr>
                        <w:tcW w:w="67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w:t>
                        </w:r>
                      </w:p>
                    </w:tc>
                    <w:tc>
                      <w:tcPr>
                        <w:tcW w:w="88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2801010</w:t>
                        </w:r>
                      </w:p>
                    </w:tc>
                    <w:tc>
                      <w:tcPr>
                        <w:tcW w:w="189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专业不限</w:t>
                        </w:r>
                      </w:p>
                    </w:tc>
                    <w:tc>
                      <w:tcPr>
                        <w:tcW w:w="5205"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国民教育大学专科及以上学历，30周岁以下，在海西州服务大学生村官等服务基层项目的人员。</w:t>
                        </w:r>
                      </w:p>
                    </w:tc>
                  </w:tr>
                  <w:tr w:rsidR="00C22AF7" w:rsidRPr="00C22AF7" w:rsidTr="00C22AF7">
                    <w:trPr>
                      <w:trHeight w:val="270"/>
                    </w:trPr>
                    <w:tc>
                      <w:tcPr>
                        <w:tcW w:w="1080" w:type="dxa"/>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合计</w:t>
                        </w:r>
                      </w:p>
                    </w:tc>
                    <w:tc>
                      <w:tcPr>
                        <w:tcW w:w="14850" w:type="dxa"/>
                        <w:gridSpan w:val="7"/>
                        <w:tcBorders>
                          <w:top w:val="outset" w:sz="6" w:space="0" w:color="808080"/>
                          <w:left w:val="outset" w:sz="6" w:space="0" w:color="808080"/>
                          <w:bottom w:val="outset" w:sz="6" w:space="0" w:color="808080"/>
                          <w:right w:val="outset" w:sz="6" w:space="0" w:color="808080"/>
                        </w:tcBorders>
                        <w:vAlign w:val="center"/>
                        <w:hideMark/>
                      </w:tcPr>
                      <w:p w:rsidR="00C22AF7" w:rsidRPr="00C22AF7" w:rsidRDefault="00C22AF7" w:rsidP="00C22AF7">
                        <w:pPr>
                          <w:adjustRightInd/>
                          <w:snapToGrid/>
                          <w:spacing w:after="0"/>
                          <w:rPr>
                            <w:rFonts w:asciiTheme="majorEastAsia" w:eastAsiaTheme="majorEastAsia" w:hAnsiTheme="majorEastAsia" w:cs="宋体"/>
                            <w:sz w:val="24"/>
                            <w:szCs w:val="24"/>
                          </w:rPr>
                        </w:pPr>
                        <w:r w:rsidRPr="00C22AF7">
                          <w:rPr>
                            <w:rFonts w:asciiTheme="majorEastAsia" w:eastAsiaTheme="majorEastAsia" w:hAnsiTheme="majorEastAsia" w:cs="宋体"/>
                            <w:sz w:val="24"/>
                            <w:szCs w:val="24"/>
                          </w:rPr>
                          <w:t>132</w:t>
                        </w:r>
                      </w:p>
                    </w:tc>
                  </w:tr>
                </w:tbl>
                <w:p w:rsidR="00C22AF7" w:rsidRPr="00C22AF7" w:rsidRDefault="00C22AF7" w:rsidP="00C22AF7">
                  <w:pPr>
                    <w:adjustRightInd/>
                    <w:snapToGrid/>
                    <w:spacing w:after="0" w:line="330" w:lineRule="atLeast"/>
                    <w:rPr>
                      <w:rFonts w:asciiTheme="majorEastAsia" w:eastAsiaTheme="majorEastAsia" w:hAnsiTheme="majorEastAsia" w:cs="宋体"/>
                      <w:color w:val="000000"/>
                      <w:spacing w:val="-4"/>
                      <w:sz w:val="24"/>
                      <w:szCs w:val="24"/>
                    </w:rPr>
                  </w:pPr>
                </w:p>
              </w:tc>
            </w:tr>
          </w:tbl>
          <w:p w:rsidR="00C22AF7" w:rsidRPr="00C22AF7" w:rsidRDefault="00C22AF7" w:rsidP="00C22AF7">
            <w:pPr>
              <w:adjustRightInd/>
              <w:snapToGrid/>
              <w:spacing w:after="0"/>
              <w:rPr>
                <w:rFonts w:asciiTheme="majorEastAsia" w:eastAsiaTheme="majorEastAsia" w:hAnsiTheme="majorEastAsia" w:cs="宋体"/>
                <w:color w:val="000000"/>
                <w:sz w:val="24"/>
                <w:szCs w:val="24"/>
              </w:rPr>
            </w:pPr>
          </w:p>
        </w:tc>
      </w:tr>
      <w:tr w:rsidR="00C22AF7" w:rsidRPr="00C22AF7" w:rsidTr="00C22AF7">
        <w:trPr>
          <w:trHeight w:val="450"/>
          <w:tblCellSpacing w:w="0" w:type="dxa"/>
          <w:jc w:val="center"/>
        </w:trPr>
        <w:tc>
          <w:tcPr>
            <w:tcW w:w="0" w:type="auto"/>
            <w:shd w:val="clear" w:color="auto" w:fill="FFFFFF"/>
            <w:vAlign w:val="center"/>
            <w:hideMark/>
          </w:tcPr>
          <w:p w:rsidR="00C22AF7" w:rsidRPr="00C22AF7" w:rsidRDefault="00C22AF7" w:rsidP="00C22AF7">
            <w:pPr>
              <w:adjustRightInd/>
              <w:snapToGrid/>
              <w:spacing w:after="0"/>
              <w:jc w:val="center"/>
              <w:rPr>
                <w:rFonts w:asciiTheme="majorEastAsia" w:eastAsiaTheme="majorEastAsia" w:hAnsiTheme="majorEastAsia" w:cs="宋体"/>
                <w:color w:val="000000"/>
                <w:sz w:val="24"/>
                <w:szCs w:val="24"/>
              </w:rPr>
            </w:pPr>
          </w:p>
        </w:tc>
      </w:tr>
      <w:tr w:rsidR="00C22AF7" w:rsidRPr="00C22AF7" w:rsidTr="00C22AF7">
        <w:trPr>
          <w:tblCellSpacing w:w="0" w:type="dxa"/>
          <w:jc w:val="center"/>
        </w:trPr>
        <w:tc>
          <w:tcPr>
            <w:tcW w:w="0" w:type="auto"/>
            <w:shd w:val="clear" w:color="auto" w:fill="FFFFFF"/>
            <w:vAlign w:val="center"/>
            <w:hideMark/>
          </w:tcPr>
          <w:p w:rsidR="00C22AF7" w:rsidRPr="00C22AF7" w:rsidRDefault="00C22AF7" w:rsidP="00C22AF7">
            <w:pPr>
              <w:adjustRightInd/>
              <w:snapToGrid/>
              <w:spacing w:after="0"/>
              <w:rPr>
                <w:rFonts w:asciiTheme="majorEastAsia" w:eastAsiaTheme="majorEastAsia" w:hAnsiTheme="majorEastAsia" w:cs="宋体"/>
                <w:color w:val="000000"/>
                <w:sz w:val="24"/>
                <w:szCs w:val="24"/>
              </w:rPr>
            </w:pPr>
          </w:p>
        </w:tc>
      </w:tr>
    </w:tbl>
    <w:p w:rsidR="004358AB" w:rsidRPr="00C22AF7" w:rsidRDefault="004358AB" w:rsidP="00D31D50">
      <w:pPr>
        <w:spacing w:line="220" w:lineRule="atLeast"/>
        <w:rPr>
          <w:rFonts w:asciiTheme="majorEastAsia" w:eastAsiaTheme="majorEastAsia" w:hAnsiTheme="majorEastAsia"/>
          <w:sz w:val="24"/>
          <w:szCs w:val="24"/>
        </w:rPr>
      </w:pPr>
    </w:p>
    <w:sectPr w:rsidR="004358AB" w:rsidRPr="00C22AF7" w:rsidSect="00C22AF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B7726"/>
    <w:rsid w:val="00C22AF7"/>
    <w:rsid w:val="00CC242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AF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76308226">
      <w:bodyDiv w:val="1"/>
      <w:marLeft w:val="0"/>
      <w:marRight w:val="0"/>
      <w:marTop w:val="0"/>
      <w:marBottom w:val="0"/>
      <w:divBdr>
        <w:top w:val="none" w:sz="0" w:space="0" w:color="auto"/>
        <w:left w:val="none" w:sz="0" w:space="0" w:color="auto"/>
        <w:bottom w:val="none" w:sz="0" w:space="0" w:color="auto"/>
        <w:right w:val="none" w:sz="0" w:space="0" w:color="auto"/>
      </w:divBdr>
      <w:divsChild>
        <w:div w:id="109767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2015-12-23T12:32:00Z</dcterms:modified>
</cp:coreProperties>
</file>