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pacing w:line="375" w:lineRule="atLeast"/>
        <w:jc w:val="left"/>
        <w:rPr>
          <w:sz w:val="21"/>
          <w:szCs w:val="21"/>
        </w:rPr>
      </w:pPr>
      <w:r>
        <w:rPr>
          <w:rStyle w:val="4"/>
          <w:rFonts w:ascii="Arial" w:hAnsi="Arial" w:cs="Arial"/>
          <w:sz w:val="21"/>
          <w:szCs w:val="21"/>
        </w:rPr>
        <w:t>招聘岗位及要求</w:t>
      </w:r>
    </w:p>
    <w:tbl>
      <w:tblPr>
        <w:tblW w:w="8477" w:type="dxa"/>
        <w:tblInd w:w="46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1020"/>
        <w:gridCol w:w="1564"/>
        <w:gridCol w:w="700"/>
        <w:gridCol w:w="2245"/>
        <w:gridCol w:w="1520"/>
        <w:gridCol w:w="10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X16-01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心内科医师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内科学（心血管病方向）、临床医学（心血管病方向）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研究生学历 博士学位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X16-02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小儿科医师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儿科学（心血管病方向）、临床医学（儿科学心血管病方向）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研究生学历 博士学位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X16-03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放射治疗科医师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肿瘤学（放射治疗方向）、临床医学（放射治疗方向）、放射治疗学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研究生学历 博士学位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X16-04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影像医学与核医学（放射诊断学CT、MR方向）、临床医学（放射诊断学CT、MR方向）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研究生学历 博士学位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01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 合 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375" w:lineRule="atLeast"/>
        <w:jc w:val="left"/>
        <w:rPr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　　　　</w:t>
      </w:r>
      <w:r>
        <w:rPr>
          <w:rStyle w:val="4"/>
          <w:rFonts w:hint="default" w:ascii="Arial" w:hAnsi="Arial" w:cs="Arial"/>
          <w:sz w:val="21"/>
          <w:szCs w:val="21"/>
        </w:rPr>
        <w:t>注：所有招聘岗位专业中“临床医学”均指临床医学八年制专业。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843F4"/>
    <w:rsid w:val="054843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2016-01-04T03:09:00Z</dcterms:created>
  <dc:creator>Administrator</dc:creator>
  <cp:lastModifiedBy>Administrator</cp:lastModifiedBy>
  <dcterms:modified xsi:type="dcterms:W3CDTF">2016-01-04T06:46:57Z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