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附表：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13131"/>
          <w:spacing w:val="0"/>
          <w:sz w:val="44"/>
          <w:szCs w:val="44"/>
          <w:shd w:val="clear" w:fill="FFFFFF"/>
        </w:rPr>
        <w:t>中共黑龙江省委办公厅网络技术服务中心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13131"/>
          <w:spacing w:val="0"/>
          <w:sz w:val="44"/>
          <w:szCs w:val="44"/>
          <w:shd w:val="clear" w:fill="FFFFFF"/>
        </w:rPr>
        <w:t>2016年招聘人员计划表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13131"/>
          <w:spacing w:val="0"/>
          <w:sz w:val="44"/>
          <w:szCs w:val="44"/>
          <w:shd w:val="clear" w:fill="FFFFFF"/>
        </w:rPr>
        <w:t>                                           </w:t>
      </w:r>
    </w:p>
    <w:tbl>
      <w:tblPr>
        <w:tblW w:w="7875" w:type="dxa"/>
        <w:jc w:val="center"/>
        <w:tblInd w:w="3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336"/>
        <w:gridCol w:w="4240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67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部 门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岗 位</w:t>
            </w:r>
          </w:p>
        </w:tc>
        <w:tc>
          <w:tcPr>
            <w:tcW w:w="4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任职条件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备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中共黑龙江省委办公厅网络技术服务中心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专业技术岗位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（3名）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全日制研究生学历、硕士学位，信息与通信工程、计算机科学与技术及相关专业，具有5年以上大型网络管理或信息安全领域工作经验。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专业技术岗位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（5名）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全日制本科学历、学士学位，电子信息工程、通信工程、计算机科学与技术、信息安全及相关专业，有3年以上业务应用软件开发、运行管理或信息安全领域技术支持、网络运维经验。</w:t>
            </w: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管理岗位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（1名）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全日制本科学历、学士学位，电子信息工程、通信工程、计算机科学与技术、信息安全及相关专业，有1年以上网络规划设计或信息安全领域管理工作经验。</w:t>
            </w: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40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13131"/>
          <w:spacing w:val="0"/>
          <w:sz w:val="32"/>
          <w:szCs w:val="32"/>
          <w:shd w:val="clear" w:fill="FFFFFF"/>
        </w:rPr>
        <w:t>注：以上时间均截至到2016年2月1日。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18"/>
          <w:szCs w:val="18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A4907"/>
    <w:rsid w:val="525A49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2016-01-22T02:49:00Z</dcterms:created>
  <dc:creator>Administrator</dc:creator>
  <cp:lastModifiedBy>Administrator</cp:lastModifiedBy>
  <dcterms:modified xsi:type="dcterms:W3CDTF">2016-01-22T02:50:38Z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