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98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20"/>
        <w:gridCol w:w="1080"/>
        <w:gridCol w:w="1080"/>
        <w:gridCol w:w="1080"/>
        <w:gridCol w:w="1080"/>
        <w:gridCol w:w="108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9870" w:type="dxa"/>
            <w:gridSpan w:val="8"/>
            <w:tcBorders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8"/>
                <w:szCs w:val="48"/>
                <w:lang w:val="en-US" w:eastAsia="zh-CN" w:bidi="ar"/>
              </w:rPr>
              <w:t>面试成绩及考试总成绩表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抽签号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是否报考社会化车辆租赁公司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报考驾驶员类别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92.00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69.20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76.04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客车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94.00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68.00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75.80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97.00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69.00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77.40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94.00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75.40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80.98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89.00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71.20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76.54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100.00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82.40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87.68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1607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91.00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69.00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75.60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1608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98.00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72.40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80.08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1609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97.00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82.40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86.78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1610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76.40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77.48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1611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96.00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72.00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79.20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1612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89.00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69.80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75.56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94.00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76.00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81.40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1614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56.00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67.00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63.70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1615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92.00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82.80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85.56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1616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83.00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69.80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73.76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​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轿车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93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仅报社会化车辆租赁公司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167A"/>
    <w:rsid w:val="0CBF70D2"/>
    <w:rsid w:val="627B16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2016-02-27T06:32:00Z</dcterms:created>
  <dc:creator>Administrator</dc:creator>
  <cp:lastModifiedBy>Administrator</cp:lastModifiedBy>
  <dcterms:modified xsi:type="dcterms:W3CDTF">2016-02-27T06:35:20Z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