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0E" w:rsidRPr="00E95B0E" w:rsidRDefault="00E95B0E" w:rsidP="00E95B0E">
      <w:pPr>
        <w:widowControl/>
        <w:spacing w:before="100" w:beforeAutospacing="1" w:after="182"/>
        <w:ind w:firstLine="480"/>
        <w:jc w:val="center"/>
        <w:rPr>
          <w:rFonts w:ascii="宋体" w:eastAsia="宋体" w:hAnsi="宋体" w:cs="宋体"/>
          <w:color w:val="565656"/>
          <w:kern w:val="0"/>
          <w:sz w:val="25"/>
          <w:szCs w:val="25"/>
        </w:rPr>
      </w:pPr>
      <w:r w:rsidRPr="00E95B0E">
        <w:rPr>
          <w:rFonts w:ascii="宋体" w:eastAsia="宋体" w:hAnsi="宋体" w:cs="宋体" w:hint="eastAsia"/>
          <w:color w:val="565656"/>
          <w:kern w:val="0"/>
          <w:sz w:val="36"/>
          <w:szCs w:val="36"/>
        </w:rPr>
        <w:t>南开大学2016年教学科研岗位拟聘用人员公示</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1、历史学院方万鹏，中国史专业博士，主要经历：2012.9至今南开大学中国史专业博士；已发表主要学术成果：（1）在《文物》上发表《张舜民&lt;水磨赋&gt;与王祯“水轮三事”设计之关系再探》（2015年第8期），（2）在《中华文史论丛》上发表《&lt;宋史•宋琪传&gt;正误一则》（2015年第2期），（3）在《中国农史》上发表《相地作磨：明清以来河北井陉的水力加工业》（2014年第3期），（4）在《中国农史》上发表《水硙与北宋开封的粮食加工》（2013年第5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 xml:space="preserve">2、历史学院马光，历史学专业博士，主要经历：2012.10至今比利时根特大学历史学专业博士，2015.4-2016.9奥地利萨尔茨堡大学历史学专业联合培养；已发表主要学术成果：（1）在《近代史研究》上发表《1858–1911年珠三角鸦片走私与缉私》（2014年第6期），（2）在Crossroads – Studies on the History of Exchange Relations in the East Asian World上发表“The Shandong Peninsula in Northeast </w:t>
      </w:r>
      <w:r w:rsidRPr="00E95B0E">
        <w:rPr>
          <w:rFonts w:ascii="宋体" w:eastAsia="宋体" w:hAnsi="宋体" w:cs="宋体" w:hint="eastAsia"/>
          <w:color w:val="565656"/>
          <w:kern w:val="0"/>
          <w:sz w:val="36"/>
          <w:szCs w:val="36"/>
        </w:rPr>
        <w:lastRenderedPageBreak/>
        <w:t>Asian Maritime History During the Yuan-Ming Transition”（2015年第10卷），（3）在National Maritime Research上发表“Wokou Raiding Activities and the Coastal Defence System of Shandong in the Early Ming Dynasty”（2015年第11卷），（4）在《海洋史研究》上发表《元明时期山东倭寇、海盗与海防》（2016年第9期），（5）在《澳门研究》上发表《晚清珠三角地区鸦片贸易与走私——以新香六厂为个案研究（1866-1899）》（2009年第55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3、经济学院封宁，经济学专业博士，主要经历：2012.9-2016.1至今香港浸会大学经济学专业博士；已发表主要学术成果：在Journal of International Money and Finance上发表“Housing market dynamics in a small open economy: Do external and news shocks matter?”（2016年第63卷）。</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4、经济学院冯志轩，政治经济学专业博士，主要经历：2013.9至今中国人民大学政治经济学专业博士，</w:t>
      </w:r>
      <w:r w:rsidRPr="00E95B0E">
        <w:rPr>
          <w:rFonts w:ascii="宋体" w:eastAsia="宋体" w:hAnsi="宋体" w:cs="宋体" w:hint="eastAsia"/>
          <w:color w:val="565656"/>
          <w:kern w:val="0"/>
          <w:sz w:val="36"/>
          <w:szCs w:val="36"/>
        </w:rPr>
        <w:lastRenderedPageBreak/>
        <w:t>2014.10-2015.11美国加州大学洛杉矶分校政治经济学专业联合培养；已发表主要学术成果：（1）在《经济学家》上发表《国民收入中劳动报酬占比测算理论基础和方法的讨论——基于马克思主义经济学的方法》（2012年第3期），（2）在《政治经济学评论》上发表《中国经验对于经济学理论的贡献》，（2013年第1期），（3）在《世界经济》上发表《地理大发现与摆脱马尔萨斯陷阱的条件: 以分工为媒介的经济增长模型》（2010年第11期），（4）在《马克思主义研究》上发表《技术落后、过度剥削和经济失衡》（2013年第9期），（5）在《经济学动态》上发表《2013年理论经济学若干热点问题的研究和争鸣》（2014年第1期），（6）在《人民日报》上发表《学术界关于我国经济发展的讨论》（2014年3月14日第7 版）。</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5、商学院孙凌霞，财务管理专业博士，主要经历：2010.9至今韩国高丽大学财务管理专业博士；已发表主要学术成果：（1）在Journal of Money and Finance上发表“Analysis of correlation spillover effects – evidence from the Korean industries”（2015年第2期），（2）在《软科学》上发表《公司治理要</w:t>
      </w:r>
      <w:r w:rsidRPr="00E95B0E">
        <w:rPr>
          <w:rFonts w:ascii="宋体" w:eastAsia="宋体" w:hAnsi="宋体" w:cs="宋体" w:hint="eastAsia"/>
          <w:color w:val="565656"/>
          <w:kern w:val="0"/>
          <w:sz w:val="36"/>
          <w:szCs w:val="36"/>
        </w:rPr>
        <w:lastRenderedPageBreak/>
        <w:t>素对代理成本影响的实证研究——来自我国上市公司的证据（2000～2007）》（2009年第10期），（3）在《公司治理评论》上发表《战略委员会、过度投资与公司业绩》（2009年第4期）。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6、商学院高洪利，企业管理专业博士，主要经历：2011.9至2015.12南开大学企业管理专业博士，2014.6-2014.11英国南安普顿大学财务管理专业交流学习，2015.10-2015.10美国犹他大学、杨百翰大学企业管理专业交流学习；已发表主要学术成果：（1）在《经济研究》发表《中国高科技企业信贷融资的信号博弈分析》（2015年第6期），（2）在《南开管理评论》发表《政治关联视角下的民营企业行业进入选择与绩效研究》（2013年第4期），（3）在《中国流通经济》发表《我国AH股上市银行投资者关系管理问题》（2012年第9期），（4）在《物流技术》上发表《基于低碳经济的第四方物流服务模式创新研究》（2011年第17期），（5）在《物流技术》上发表《开发性金融对我国循环经济的金融支持研究》（2012年第5期），（6）在《中国流通经济》上发</w:t>
      </w:r>
      <w:r w:rsidRPr="00E95B0E">
        <w:rPr>
          <w:rFonts w:ascii="宋体" w:eastAsia="宋体" w:hAnsi="宋体" w:cs="宋体" w:hint="eastAsia"/>
          <w:color w:val="565656"/>
          <w:kern w:val="0"/>
          <w:sz w:val="36"/>
          <w:szCs w:val="36"/>
        </w:rPr>
        <w:lastRenderedPageBreak/>
        <w:t>表《基于互联网金融的科技型中小企业融资平台建设研究》（2015年第12期）。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7、商学院董纪阳，创业与家族企业专业博士，主要经历：2010.9至今法国英士国际商学院（INSEAD）创业与家族企业专业博士。</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8、商学院孙泽钰，会计学专业博士，主要经历：2011.8至今新加坡国立大学会计学专业博士。</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 xml:space="preserve">9、商学院许销冰，市场营销专业博士，主要经历：2012.9至今清华大学市场营销专业博士，2014.3-2014.7香港城市大学市场营销专业交流学习，2014.11-2015.11新加坡国立大学市场营销专业交流学习；已发表主要学术成果：（1）在Asian Business &amp; Management上发表“The Role of a Model’s Race in Influencing Chinese Consumers’ Product Perception”（2016年第15卷），（2）在Social Behavior and Personality上发表“Consistency </w:t>
      </w:r>
      <w:r w:rsidRPr="00E95B0E">
        <w:rPr>
          <w:rFonts w:ascii="宋体" w:eastAsia="宋体" w:hAnsi="宋体" w:cs="宋体" w:hint="eastAsia"/>
          <w:color w:val="565656"/>
          <w:kern w:val="0"/>
          <w:sz w:val="36"/>
          <w:szCs w:val="36"/>
        </w:rPr>
        <w:lastRenderedPageBreak/>
        <w:t>between Consumer Personality and Brand Personality Influences Brand Attachment”（2015年第43卷），（3）在International Journal of Marketing Studies上发表“Competition, Cooperation, and Pricing: How Mobile Operators Respond to the Challenge of Over-The-Top”（2015年第7卷），（4）在 Journal of Marketing Development and Competitiveness上发表“How do Counterfactual Reference Prices Stimulate the Selling Willingness for Secondhand Products”（2015年第9卷）。</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10、法学院贾卓威，人权法学专业博士，主要经历：2011.9-2015.12中国政法大学人权法学专业博士，2012.10-2013.10荷兰乌特勒支大学人权法学专业联合培养；已发表主要学术成果：（1）在《北理法学》上发表《荷兰国家人权机构的转型——基于史料的考察、分析和思考》（2013年第3辑），（2）在《山东大学法律评论》上发表《“普世人权”争论的分析与思考》（2013年第00期），（3）在《读品》上发表《以善致善的逻辑——&lt;合作的进化&gt;读后》（2009</w:t>
      </w:r>
      <w:r w:rsidRPr="00E95B0E">
        <w:rPr>
          <w:rFonts w:ascii="宋体" w:eastAsia="宋体" w:hAnsi="宋体" w:cs="宋体" w:hint="eastAsia"/>
          <w:color w:val="565656"/>
          <w:kern w:val="0"/>
          <w:sz w:val="36"/>
          <w:szCs w:val="36"/>
        </w:rPr>
        <w:lastRenderedPageBreak/>
        <w:t>年第72期），（4）在《黑龙江省政法管理干部学院学报》上发表《美国科技创新知识产权法律制度研究》（2009年第6期）。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11、周恩来政府管理学院俞祖成，综合政策科学专业博士，主要经历：2012.4-2015.3日本同志社大学综合政策科学专业博士，2015.4至今日本同志社大学博士后；已发表主要学术成果：（1）在《国家行政学院学报》上发表《日本政府服务购买制度及启示》（2016年第1期），（2）在《国家行政学院学报》上发表《日本NPO法人制度的最新改革及其启示》（2013年第6期），（3）在《同志社政策科学研究》上发表《中国におけるNPOセクターの現状と課題》（2015年第17卷第2号），（4）在《公益法人》上发表《中国におけるNPO政策の規制緩和と課題》（2016年第45卷），（5）在《中国非营利评论》上发表《日本“新公共性”指向的NPO政策体系分析》（2011年第8卷），（6）在《同志社政策科学研究》上发表《現代中国における国家的公共性の形成と非営利部門の再編》（2014年第16卷）。</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lastRenderedPageBreak/>
        <w:t>12、周恩来政府管理学院迟帅，社会学专业博士，主要经历：2012.10至今德国哥廷根大学社会学专业博士；已发表主要学术成果：（1）在《当代青年研究》上发表《新生代农民工群体特征研究》（2012年第5期），（2）在《中国宗教》上发表《亚洲佛教的美国弘法与本土化——评&lt;美国佛教:亚洲佛教在西方社会的传播与转型&gt;》（2015年第4期），（3）在《人文宗教研究》上发表《评&lt;当代中国宗教：复兴与创新&gt;》（2012年第3辑），（4）在《人文宗教研究》上发表《评&lt;宗教社会学的邀请&gt;》（2013年第4辑），（5）在《宗教社会学》上发表《知识青年佛教信仰的确立——对北京地区部分信众的访谈》（2014年第1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13、周恩来政府管理学院马原，行政管理专业博士，主要经历：2009.9-2013.6南开大学行政管理专业博士，2013.9至今中国社会科学院社会学研究所博士后；已发表主要学术成果：（1）在《公共行政评论》上发表《基层维稳实践中的“规范化”形态与非正式治理》（2014年第6期），（2）在《公共管理评论》上发表《溯流而上：探求当代中国公共政策的革命谱系》（2013年第13卷），（3）在《华东政法大学学报》</w:t>
      </w:r>
      <w:r w:rsidRPr="00E95B0E">
        <w:rPr>
          <w:rFonts w:ascii="宋体" w:eastAsia="宋体" w:hAnsi="宋体" w:cs="宋体" w:hint="eastAsia"/>
          <w:color w:val="565656"/>
          <w:kern w:val="0"/>
          <w:sz w:val="36"/>
          <w:szCs w:val="36"/>
        </w:rPr>
        <w:lastRenderedPageBreak/>
        <w:t>上发表《“风险共同体”之兴起及对行政法的挑战》（2012年第4期），（4）在《二十一世纪》上发表《分散化威权法治：转型中国劳工抗争的制度背景》（2011年第127期）。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14、外国语学院孟夏韵，西班牙语语言文学专业博士，主要经历：2013.9至今北京外国语大学西班牙语语言文学专业博士，2014.9-2015.4墨西哥学院拉美文学专业交流学习；已发表主要学术成果：（1）在《外语教学》上发表《幻灭中持希望，迷茫里苦求索——斯卡尔梅达小说中成长主题探析》（2015年第6期），（2）在《西安外国语大学学报》上发表《在生态灾难中追寻“乌托邦”——蒙波•希阿迪内伊的小说&lt;无法企及的平衡&gt;》（2014年第4期），（3）在《宁夏大学学报》上发表《加西亚•马尔克斯绝笔之作&lt;苦妓追忆录&gt;：“洛丽塔情结”的断想和延续》（2014年第4期），（4）在《外国文学动态》上发表《一部聚焦人类生态万象的文本——评阿根廷作家蒙波•希阿迪内伊的小说&lt;无法企及的平衡&gt;》（2014年第2期），（5）在《光明日报》上发表《拉美印第安人的“美好生活理念”》（2015年10月24日“国际文化版”），（6）</w:t>
      </w:r>
      <w:r w:rsidRPr="00E95B0E">
        <w:rPr>
          <w:rFonts w:ascii="宋体" w:eastAsia="宋体" w:hAnsi="宋体" w:cs="宋体" w:hint="eastAsia"/>
          <w:color w:val="565656"/>
          <w:kern w:val="0"/>
          <w:sz w:val="36"/>
          <w:szCs w:val="36"/>
        </w:rPr>
        <w:lastRenderedPageBreak/>
        <w:t>在《光明日报》上发表《唤醒沉睡的心——墨西哥女画家弗里达•卡洛》（2015年1月10日“国际文化版”）。</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15、外国语学院李静，西班牙语语言文学专业博士，主要经历：2012.11-2015.10西班牙马德里卡洛斯三世大学西班牙语语言文学专业博士；已发表主要学术成果：（1）著书“ENSEÑANZA DE CONSTRUCCIONES COPULATIVAS Y SEMICOPULATIVAS”，（2）著书“RECOMENDACIONES PARA LA MEJORA DE LA TRADUCCIÓN JURÍDICA”。</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 xml:space="preserve">16、外国语学院王斐，西班牙语语言文学理论专业博士，主要经历：2013.10至今西班牙塞维利亚大学西班牙语语言文学理论专业博士；已发表主要学术成果：（1）在Universidad de Sevilla: Colección de TFM上发表“La simulación global en la enseñanza del español a intérpretes y traductores chinos especializados en el ámbito de la construcción de infraestructuras en América Latina. Aproximación metodológica </w:t>
      </w:r>
      <w:r w:rsidRPr="00E95B0E">
        <w:rPr>
          <w:rFonts w:ascii="宋体" w:eastAsia="宋体" w:hAnsi="宋体" w:cs="宋体" w:hint="eastAsia"/>
          <w:color w:val="565656"/>
          <w:kern w:val="0"/>
          <w:sz w:val="36"/>
          <w:szCs w:val="36"/>
        </w:rPr>
        <w:lastRenderedPageBreak/>
        <w:t>y propuesta didáctica”（2015年），（2）在ASELE上发表“Prácticum total (Quanmian jiaoxue shixi 全面教學實習)”（2013年）。</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17、外国语学院胡婧，教育学专业博士，主要经历：2012.9-2015.3葡萄牙里斯本大学葡萄牙语言与文化专业硕士，2015.9至今葡萄牙里斯本新大学教育学专业博士。</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18、外国语学院陈晨，公共政策，战略与发展专业硕士，主要经历：2013.2-2015.8巴西里约热内卢联邦大学公共政策，战略与发展专业硕士；已发表主要学术成果：在The Triple Helix International Conference上发表“A Comparative Study about Innovation Systems of China and Brazil in the Area of Alternative Liquid Fuels”（2015年）。</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19、汉语言文化学院王帅，语言学及应用语言学专业博士，主要经历：2012.9至今北京大学语言学及应</w:t>
      </w:r>
      <w:r w:rsidRPr="00E95B0E">
        <w:rPr>
          <w:rFonts w:ascii="宋体" w:eastAsia="宋体" w:hAnsi="宋体" w:cs="宋体" w:hint="eastAsia"/>
          <w:color w:val="565656"/>
          <w:kern w:val="0"/>
          <w:sz w:val="36"/>
          <w:szCs w:val="36"/>
        </w:rPr>
        <w:lastRenderedPageBreak/>
        <w:t>用语言学专业博士，2015.3-2015.12澳大利亚墨尔本大学跨文化交际研究专业交流学习；已发表主要学术成果：（1）在《语言文字应用》上发表《汉语语用教学探索——以“请求”为例》（2016年第1期），（2）在《对外汉语研究》上发表《对外汉语教师“跨文化教学意识”调查分析》（2014年第2期），（3）在《汉语教学学刊》上发表《三十年来对外汉语文化教学研究考察》（2015年第10辑），（4）在《海外华文教育》上发表《Kumaravadivelu“现实主义”文化教学观述评》（2015年第2期），（5）在《国际汉语学报》上发表《现阶段网上汉语教学平台建设分析》（2013年第1辑）。</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20、旅游与服务学院妥艳媜，旅游管理专业博士，主要经历：2011.9-2015.6南开大学旅游管理专业博士，2015.3-2016.3国家旅游局挂职；已发表主要学术成果：（1）在《旅游学刊》上发表《旅游者幸福感为什么重要》（2015年第11期），（2）在《旅游学刊》上发表《目的地营销绩效：现状及价值模型》（2015年第1期），（3）在《旅游学刊》上发表《服务失败后自我建构与质量预期对满意和口碑的影响》（2014</w:t>
      </w:r>
      <w:r w:rsidRPr="00E95B0E">
        <w:rPr>
          <w:rFonts w:ascii="宋体" w:eastAsia="宋体" w:hAnsi="宋体" w:cs="宋体" w:hint="eastAsia"/>
          <w:color w:val="565656"/>
          <w:kern w:val="0"/>
          <w:sz w:val="36"/>
          <w:szCs w:val="36"/>
        </w:rPr>
        <w:lastRenderedPageBreak/>
        <w:t>年第5期），（4）在《旅游学刊》上发表《京津冀旅游一体化中的理论与实践问题——多中心治理理论的视角》（2014年第11期），（5）在Proceedings of The 7th International Joint Conference on Computational Science and Optimization (CSO 2014)上发表：“Travel for Meaning: The Present and Future of Tourist Wellbeing”（2014年），（6）在《国家旅游智库研究专辑—国家旅游形象战略研究与中国实践》上发表《地方旅游部门对国家旅游形象建设的若干认识》（2015年）</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21、经济与社会发展研究院郭琪，人文地理学专业博士，主要经历：2012.9至今北京大学人文地理学专业博士，2014.9-2015.9美国伊利诺伊大学香槟分校区域经济学专业交流学习；已发表主要学术成果：（1）在《中国软科学》上发表《空间集聚、市场结构对城市创业精神的影响研究——基于2001-2007年中国制造业的数据》（2014年第5期），（2）在《中国软科学》上发表《密度、距离、分割与城市劳动生产率——基于中国2004-2009年城市面板数据的经验研究》（2012年第11期），（3）在《地理学报》上发表《西</w:t>
      </w:r>
      <w:r w:rsidRPr="00E95B0E">
        <w:rPr>
          <w:rFonts w:ascii="宋体" w:eastAsia="宋体" w:hAnsi="宋体" w:cs="宋体" w:hint="eastAsia"/>
          <w:color w:val="565656"/>
          <w:kern w:val="0"/>
          <w:sz w:val="36"/>
          <w:szCs w:val="36"/>
        </w:rPr>
        <w:lastRenderedPageBreak/>
        <w:t>方经济地理学进展》（2014年第69卷），（4）在《城市问题》上发表《工业用地增长与工业经济增长的关系》（2014年第7期），（5）在《经济地理》上发表《西方经济地理学的政策研究综述——基于CiteSpace的知识图谱分析》（2015年第5期），（6）在《地理科学进展》上发表《市场分割对中国制造业增长的影响——区域与产业差异》（2013年第11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22、国家经济战略研究院邹文博，发展经济学和实验经济学专业博士，主要经历：2009.9至今美国加州大学戴维斯分校发展经济学和实验经济学专业博士。</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23、体育部郭汶豪，体育教育训练学专业硕士，主要经历：2013.9至今武汉体育学院体育教育训练学专业硕士。</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24、统计研究院武颖，统计-生物统计专业博士，主要经历：2013.5至今加拿大滑铁卢大学统计-生物统计专业博士；已发表主要学术成果：（1）在</w:t>
      </w:r>
      <w:r w:rsidRPr="00E95B0E">
        <w:rPr>
          <w:rFonts w:ascii="宋体" w:eastAsia="宋体" w:hAnsi="宋体" w:cs="宋体" w:hint="eastAsia"/>
          <w:color w:val="565656"/>
          <w:kern w:val="0"/>
          <w:sz w:val="36"/>
          <w:szCs w:val="36"/>
        </w:rPr>
        <w:lastRenderedPageBreak/>
        <w:t>Biometrics上发表“Penalized regression for interval-censored times of disease progression: Selection of HLA markers in psoriatic arthritis”（2015年第3期），（2）在Journal of Medical Statistics and Informatics上发表“Correcting for sampling variation and measurement error in Cox regression with circulating tumour cells”（2014年第1期），（3）在Human molecular genetics上发表“Epigenetic markers of prostate cancer in plasma circulating DNA”（2012年第16期）。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 xml:space="preserve">25、材料科学与工程学院刘俊庆，材料学专业博士，主要经历：2012.9-2016.1天津大学材料学专业博士，2014.10-2015.10德国柏林自由大学化学专业联合培养；已发表主要学术成果：（1）在Journal of materials chemistry B上发表“Highly stable quantum dots with silica-Poly(EGDMA-co-MAA) synergistic protection and the preliminary application in immunoassay”（2013年第1卷），（2）在ACS Applied Materials&amp;Interfaces上发表“Self-healing encapsulation strategy for </w:t>
      </w:r>
      <w:r w:rsidRPr="00E95B0E">
        <w:rPr>
          <w:rFonts w:ascii="宋体" w:eastAsia="宋体" w:hAnsi="宋体" w:cs="宋体" w:hint="eastAsia"/>
          <w:color w:val="565656"/>
          <w:kern w:val="0"/>
          <w:sz w:val="36"/>
          <w:szCs w:val="36"/>
        </w:rPr>
        <w:lastRenderedPageBreak/>
        <w:t>preparing highly stable, functionalized quantum-dot barcodes”（2014年第4期），（3）在ACS applied materials &amp; interfaces上发表“pH- and reduction- responsive polymeric lipid vesicles for enhanced tumor cellular internalization and triggered drug release”（2014年第13期），（4）在Journal of materials chemistry上发表“An efficient method for preparing high-performance multifunctional polymer beads simultaneously incorporated with magnetic nanoparticles and quantum dots”（2011年第21卷），（5）在ACS applied materials &amp; interfaces上发表“pHe-Induced charge-reversible NIR fluorescence nanoprobe for tumor-specific imaging”（2015年第14期），（6）在ACS applied materials &amp; interfaces上发表“Rapid and quantitative detection of prostate specific antigen with a quantum dot nanobeads-based immunochromatography test strip”（2014年第9期）。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lastRenderedPageBreak/>
        <w:t>26、生命科学学院张琼林，生物化学与分子生物学专业博士，主要经历；2010.9至今南开大学生物化学与分子生物学专业硕博连读，2011.11-2011.12日本东京大学结构生物学专业交流学习；已发表主要学术成果：（1）在Nucleic Acids Research上发表“Structural and functional insight into the mechanism of an alkaline exonuclease from Laribacter hongkongensis”（2011年第22期），（2）在Scientific Reports上发表“Structural insights into YfiR sequestering by YfiB in Pseudomonas aeruginosa PAO1”（2015年第23期），（3）在Frontiers in Genetics上发表“Insights into the structure and architecture of the CCR4-NOT complex”（2014年第16期）。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27、生命科学学院史洋，高分子化学与物理专业博士，主要经历：2011.9至今高分子化学与物理专业硕博连读；已发表主要学术成果：（1）在PLoS ONE上发表“Glutathione-Triggered Formation of a Fmoc-Protected Short Peptide-Based Supramolecular Hydrogel”（2014年第9期），（2）</w:t>
      </w:r>
      <w:r w:rsidRPr="00E95B0E">
        <w:rPr>
          <w:rFonts w:ascii="宋体" w:eastAsia="宋体" w:hAnsi="宋体" w:cs="宋体" w:hint="eastAsia"/>
          <w:color w:val="565656"/>
          <w:kern w:val="0"/>
          <w:sz w:val="36"/>
          <w:szCs w:val="36"/>
        </w:rPr>
        <w:lastRenderedPageBreak/>
        <w:t>在Scientific reports上发表“Self-assembling choline mimicks with enhanced binding affinities to C-LytA protein”（2014年第4期），（3）在Chemical Communications上发表“Multi-Responsive Supramolecular Hydrogels for Drug Delivery”（2015年第51期），（4）在Chem. Soc. Rev.上发表“Recombinant proteins as cross-linkers for hydrogelations”（2013年第42期），（5）在Org.Biomol. Chem上发表“Enzyme-Controllable F-NMR Turn On through Disassembly of Peptidebased Nanospheres for Enzyme Detection”（2014年第12期），（6）在Anal. Chem.上发表“Environment-Sensitive Fluorescent Supramolecular Nanofibers for Imaging Applications”（2014年第24期）。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28、生命科学学院陈军，发育生物学专业博士，主要经历：2009.9-2016.1中国科学院上海生命科学研究院发育生物学专业硕博连读；已发表主要学术成果：（1）在Developmental Dynamics上发表“The dual histone demethylase KDM7A promotes neural induction in early chick embryos”（2010年第12</w:t>
      </w:r>
      <w:r w:rsidRPr="00E95B0E">
        <w:rPr>
          <w:rFonts w:ascii="宋体" w:eastAsia="宋体" w:hAnsi="宋体" w:cs="宋体" w:hint="eastAsia"/>
          <w:color w:val="565656"/>
          <w:kern w:val="0"/>
          <w:sz w:val="36"/>
          <w:szCs w:val="36"/>
        </w:rPr>
        <w:lastRenderedPageBreak/>
        <w:t>期），（2）在Cell Research上发表“AP2γ regulates neural and epidermal development downstream of the BMP pathway at early stages of ectodermal patterning”（2012年第11期），（3）在elife上发表“The transcription factor Pou3f1 promotes neural fate commitment via activation of neural lineage genes and inhibition of external signaling pathways”（2014年），（4）在Journal of Molecular Cell Biology上发表“Ectodermal progenitors derived from epiblast stem cells by inhibition of Nodal signaling”（2015年第5期），（5）在Nature Communication上发表“Histone deacetylation promotes mouse neural induction by restricting Nodal-dependent mesendoderm fate”（2015年）。</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 xml:space="preserve">29、生命科学学院张雷，生理学专业博士，主要经历：2010.9-2015.7北京大学生理学专业硕博连读；已发表主要学术成果：（1）在Sci. Rep.上发表“Compound 331 selectivelyduces glioma cell death by upregulating miR-494 and downregulating </w:t>
      </w:r>
      <w:r w:rsidRPr="00E95B0E">
        <w:rPr>
          <w:rFonts w:ascii="宋体" w:eastAsia="宋体" w:hAnsi="宋体" w:cs="宋体" w:hint="eastAsia"/>
          <w:color w:val="565656"/>
          <w:kern w:val="0"/>
          <w:sz w:val="36"/>
          <w:szCs w:val="36"/>
        </w:rPr>
        <w:lastRenderedPageBreak/>
        <w:t>CDC20”（2015年第5期），（2）在Neurosci Bull.上发表“Tunneling nanotubes between rat primary astrocytes and C6 glioma cells alter proliferation potential of glioma cells”（2015年第3期），（3）在Int J Clin Exp Med.上发表“Halothane increases neuronal cell death vulnerability by downregulating miR-214 and upregulatingBax”（2013年第6期），（4）在Int. J. Mol. Sci.上发表“Effect and Mechanism of Mitomycin C Combined with Recombinant Adeno-Associated Virus Type II against Glioma”（2014年第1期）。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30、信息与光学工程学院刘洪亮，光学专业博士，主要经历：2011.9至今山东大学光学专业硕博连读，2014.9-2015.9新加坡国立大学光学专业联合培养；已发表主要学术成果：（1）在Optics Express上发表“Femtosecond laser inscribed cladding waveguides in Nd:YAG ceramics: Fabrication, fluorescence imaging and laser performance”（2012年第20期），（2）在OpticalExpress上发表</w:t>
      </w:r>
      <w:r w:rsidRPr="00E95B0E">
        <w:rPr>
          <w:rFonts w:ascii="宋体" w:eastAsia="宋体" w:hAnsi="宋体" w:cs="宋体" w:hint="eastAsia"/>
          <w:color w:val="565656"/>
          <w:kern w:val="0"/>
          <w:sz w:val="36"/>
          <w:szCs w:val="36"/>
        </w:rPr>
        <w:lastRenderedPageBreak/>
        <w:t>“Graphene-based Y-branch laser in femtosecond laser written Nd:YAG waveguides”（2015年第23期），（3）在Optics Letters上发表“Efficient laser emission from cladding waveguide inscribed in Nd:GdVO4 crystal by direct femtosecond laser writing”（2014年第39期），（4）在Optics Letters上发表“Femtosecond laser inscribed double cladding waveguides in Nd:YAG crystal: a promising prototype for integrated lasers”（2013年第38期），（5）在IEEE Journal of Selected Topics in Quantum Electronics上发表“Femtosecond laser inscribed Y-branch waveguides in Nd:YAG crystal: fabrication and continuous-wave lasing”（2016年第22期），（6）在Optical Materials Express上发表“Continuous wave laser operation in Nd:GGG depressed tubular cladding waveguides produced by inscription of femtosecond laser pulses”（2013年第3期）。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31、计算机与控制工程学院蒲凌君，计算机应用技术专业博士，主要经历：2010.9至今南开大学计算机</w:t>
      </w:r>
      <w:r w:rsidRPr="00E95B0E">
        <w:rPr>
          <w:rFonts w:ascii="宋体" w:eastAsia="宋体" w:hAnsi="宋体" w:cs="宋体" w:hint="eastAsia"/>
          <w:color w:val="565656"/>
          <w:kern w:val="0"/>
          <w:sz w:val="36"/>
          <w:szCs w:val="36"/>
        </w:rPr>
        <w:lastRenderedPageBreak/>
        <w:t>应用技术专业硕博连读，2013.9-2015.9德国哥廷根大学计算机科学技术专业联合培养；已发表主要学术成果：（1）在ACM MobiCom workshop Mobiarch上发表“sNDN: A social-aware named data framework for cooperative content retrieval via d2d communications”（2015年），（2）在IEEE China Communications上发表“‘smart cafe’: A mobile local computing system based on indoor virtual cloud”（2014年第4期），（3）在IEEE WCNC上发表“Smartvirtcloud: Virtual cloud assisted application offloading execution at mobile devices’ discretion”（2013年），（4）在IEEE NAS上发表“Measurements study on the i/o performance of virtualized cloud system”（2012年）。</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 xml:space="preserve">32、计算机与控制工程学院杨浩，控制科学与工程专业博士，主要经历：2010.9-2015.7中国科学技术大学控制科学与工程专业硕博连读，2011.9-2015.7 香港城市大学控制科学与工程专业联合培养，2015.9-2015.12香港城市大学博士后；已发表主要学术成果：（1）在Biophys J上发表“A Dynamic Model </w:t>
      </w:r>
      <w:r w:rsidRPr="00E95B0E">
        <w:rPr>
          <w:rFonts w:ascii="宋体" w:eastAsia="宋体" w:hAnsi="宋体" w:cs="宋体" w:hint="eastAsia"/>
          <w:color w:val="565656"/>
          <w:kern w:val="0"/>
          <w:sz w:val="36"/>
          <w:szCs w:val="36"/>
        </w:rPr>
        <w:lastRenderedPageBreak/>
        <w:t>of Chemoattractant Induced Cell Migration”（2015年第7期），（2）在International Journal of Robotics Research上发表“Direct measurement of cell protrusion force utilizing a robot-aided cell manipulation system with optical tweezers for cell migration control”（2014年第14期），（3）在Automatica上发表“Design of a Robust Unified Controller for Cell Manipulation with a Robot-aided Optical Tweezers System”（2015年第5期）。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33、计算机与控制工程学院蔡庆琼，应用数学专业博士，主要经历：2011.9至今南开大学应用数学专业硕博连读；已发表主要学术成果：（1）在Networks上发表“Solutions to conjectures on the (k,</w:t>
      </w:r>
      <w:r w:rsidRPr="00E95B0E">
        <w:rPr>
          <w:rFonts w:ascii="Times New Roman" w:eastAsia="宋体" w:hAnsi="Times New Roman" w:cs="Times New Roman"/>
          <w:color w:val="565656"/>
          <w:kern w:val="0"/>
          <w:sz w:val="36"/>
          <w:szCs w:val="36"/>
        </w:rPr>
        <w:t>ℓ</w:t>
      </w:r>
      <w:r w:rsidRPr="00E95B0E">
        <w:rPr>
          <w:rFonts w:ascii="宋体" w:eastAsia="宋体" w:hAnsi="宋体" w:cs="宋体" w:hint="eastAsia"/>
          <w:color w:val="565656"/>
          <w:kern w:val="0"/>
          <w:sz w:val="36"/>
          <w:szCs w:val="36"/>
        </w:rPr>
        <w:t>)-rainbow index of complete graphs”（2013年第3期），（2）在Bulletin of the Malaysian Mathematical Sciences Society上发表“The (k,</w:t>
      </w:r>
      <w:r w:rsidRPr="00E95B0E">
        <w:rPr>
          <w:rFonts w:ascii="Times New Roman" w:eastAsia="宋体" w:hAnsi="Times New Roman" w:cs="Times New Roman"/>
          <w:color w:val="565656"/>
          <w:kern w:val="0"/>
          <w:sz w:val="36"/>
          <w:szCs w:val="36"/>
        </w:rPr>
        <w:t>ℓ</w:t>
      </w:r>
      <w:r w:rsidRPr="00E95B0E">
        <w:rPr>
          <w:rFonts w:ascii="宋体" w:eastAsia="宋体" w:hAnsi="宋体" w:cs="宋体" w:hint="eastAsia"/>
          <w:color w:val="565656"/>
          <w:kern w:val="0"/>
          <w:sz w:val="36"/>
          <w:szCs w:val="36"/>
        </w:rPr>
        <w:t xml:space="preserve">)-Rainbow Index of Random Graphs”（2016年第2期），（3）在Transactions on Combinatorics上发表“New skew Laplacian energy of a simple </w:t>
      </w:r>
      <w:r w:rsidRPr="00E95B0E">
        <w:rPr>
          <w:rFonts w:ascii="宋体" w:eastAsia="宋体" w:hAnsi="宋体" w:cs="宋体" w:hint="eastAsia"/>
          <w:color w:val="565656"/>
          <w:kern w:val="0"/>
          <w:sz w:val="36"/>
          <w:szCs w:val="36"/>
        </w:rPr>
        <w:lastRenderedPageBreak/>
        <w:t>digraph Transactions on Combinatorics”（2013年第1期）。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34、医学院王龙龙，颌面发育与干细胞研究专业博士，主要经历：2011.5至今英国伦敦大学国王学院颌面发育与干细胞研究专业博士；已发表主要学术成果：（1）在Developmental Biology上发表“Ring1A/B Polycomb Proteins Regulate The Mesenchymal Stem Cell Niche In Continuously Growing Incisors”（2012年第2期），（2）在Nature上发表“Glial Origin Of Mesenchymal Stem Cells In A Tooth Model System”（2014年第7519期）。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35、药学院杨光，有机化学专业博士，主要经历：2009.10-2013.6英国格拉斯哥大学有机化学专业博士，2013.5-2014.5英国诺丁汉大学化学系博士后，2014.7至今南开大学药物化学生物学国家重点实验室博士后；已发表主要学术成果：（1）在Journal of Medicinal Chemistry上发表“Structure</w:t>
      </w:r>
      <w:r w:rsidRPr="00E95B0E">
        <w:rPr>
          <w:rFonts w:ascii="MS Mincho" w:eastAsia="MS Mincho" w:hAnsi="MS Mincho" w:cs="宋体" w:hint="eastAsia"/>
          <w:color w:val="565656"/>
          <w:kern w:val="0"/>
          <w:sz w:val="36"/>
          <w:szCs w:val="36"/>
        </w:rPr>
        <w:t>−</w:t>
      </w:r>
      <w:r w:rsidRPr="00E95B0E">
        <w:rPr>
          <w:rFonts w:ascii="宋体" w:eastAsia="宋体" w:hAnsi="宋体" w:cs="宋体" w:hint="eastAsia"/>
          <w:color w:val="565656"/>
          <w:kern w:val="0"/>
          <w:sz w:val="36"/>
          <w:szCs w:val="36"/>
        </w:rPr>
        <w:t xml:space="preserve">Activity Relationship Study of Rakicidins: Overcoming </w:t>
      </w:r>
      <w:r w:rsidRPr="00E95B0E">
        <w:rPr>
          <w:rFonts w:ascii="宋体" w:eastAsia="宋体" w:hAnsi="宋体" w:cs="宋体" w:hint="eastAsia"/>
          <w:color w:val="565656"/>
          <w:kern w:val="0"/>
          <w:sz w:val="36"/>
          <w:szCs w:val="36"/>
        </w:rPr>
        <w:lastRenderedPageBreak/>
        <w:t>Chronic Myeloid Leukemia Resistance to Imatinib with 4</w:t>
      </w:r>
      <w:r w:rsidRPr="00E95B0E">
        <w:rPr>
          <w:rFonts w:ascii="MS Mincho" w:eastAsia="MS Mincho" w:hAnsi="MS Mincho" w:cs="宋体" w:hint="eastAsia"/>
          <w:color w:val="565656"/>
          <w:kern w:val="0"/>
          <w:sz w:val="36"/>
          <w:szCs w:val="36"/>
        </w:rPr>
        <w:noBreakHyphen/>
      </w:r>
      <w:r w:rsidRPr="00E95B0E">
        <w:rPr>
          <w:rFonts w:ascii="宋体" w:eastAsia="宋体" w:hAnsi="宋体" w:cs="宋体" w:hint="eastAsia"/>
          <w:color w:val="565656"/>
          <w:kern w:val="0"/>
          <w:sz w:val="36"/>
          <w:szCs w:val="36"/>
        </w:rPr>
        <w:t>Methylester-Rakicidin A”（2016年第59期），（2）在Organic Letters上发表“Total Synthesis and Determination of the Absolute Configuration of Vinylamycin”（2015年第23期），（3）在Organic Letters上发表“Synthesis of the C-1–C-17 Fragment of Amphidinolides C, C2, C3, and F”（2013年第7期），（4）在Organic Letters上发表“Synthesis of the C-18–C-34 Fragment of Amphidinolides C, C2, and C3”（2013年第7期）。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36、药学院王良，有机化学专业博士，主要经历：2011.9至今南开大学有机化学专业硕博连读；已发表主要学术成果：（1）在Angew. Chem. Int. Ed.上发表“Total synthesis of Schilancitrilactone B and C”（2015年第54卷），（2）在J. Am. Chem. Soc.上发表“Total synthesis of Rakicidin A”（2014年第136卷）。</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lastRenderedPageBreak/>
        <w:t>37、泰达生物技术研究院邴健，微生物学专业博士，主要经历：2011.9至今中国科学院微生物研究所微生物学专业硕博连读；已发表主要学术成果：在Current Biology上发表“Evidence for a Far East Asian origin of lager beer yeast”（2014年第10期）。</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25"/>
          <w:szCs w:val="25"/>
        </w:rPr>
        <w:t> </w:t>
      </w:r>
    </w:p>
    <w:p w:rsidR="00E95B0E" w:rsidRPr="00E95B0E" w:rsidRDefault="00E95B0E" w:rsidP="00E95B0E">
      <w:pPr>
        <w:widowControl/>
        <w:spacing w:before="100" w:beforeAutospacing="1" w:after="182"/>
        <w:ind w:firstLine="480"/>
        <w:jc w:val="left"/>
        <w:rPr>
          <w:rFonts w:ascii="宋体" w:eastAsia="宋体" w:hAnsi="宋体" w:cs="宋体" w:hint="eastAsia"/>
          <w:color w:val="565656"/>
          <w:kern w:val="0"/>
          <w:sz w:val="25"/>
          <w:szCs w:val="25"/>
        </w:rPr>
      </w:pPr>
      <w:r w:rsidRPr="00E95B0E">
        <w:rPr>
          <w:rFonts w:ascii="宋体" w:eastAsia="宋体" w:hAnsi="宋体" w:cs="宋体" w:hint="eastAsia"/>
          <w:color w:val="565656"/>
          <w:kern w:val="0"/>
          <w:sz w:val="36"/>
          <w:szCs w:val="36"/>
        </w:rPr>
        <w:t>38、泰达生物技术研究院徐乐天，生态学专业博士，主要经历：2011.9至今中国科学院动物研究所生态学专业硕博连读；已发表主要学术成果：（1）在Microbial Ecology上发表“Gut-associated bacteria of Dendroctonus valens and their involvement in verbenone production”（2015年第70期），（2）在Scientific Reports上发表“Altered carbohydrates allocation by associated bacteria-fungi interactions in a bark beetle-microbe symbiosis”（2016年第6卷）。</w:t>
      </w:r>
    </w:p>
    <w:p w:rsidR="006566C2" w:rsidRPr="00E95B0E" w:rsidRDefault="006566C2"/>
    <w:sectPr w:rsidR="006566C2" w:rsidRPr="00E95B0E" w:rsidSect="006566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4D9C"/>
    <w:rsid w:val="003B4D9C"/>
    <w:rsid w:val="006566C2"/>
    <w:rsid w:val="00E95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8995532">
      <w:bodyDiv w:val="1"/>
      <w:marLeft w:val="0"/>
      <w:marRight w:val="0"/>
      <w:marTop w:val="0"/>
      <w:marBottom w:val="0"/>
      <w:divBdr>
        <w:top w:val="none" w:sz="0" w:space="0" w:color="auto"/>
        <w:left w:val="none" w:sz="0" w:space="0" w:color="auto"/>
        <w:bottom w:val="none" w:sz="0" w:space="0" w:color="auto"/>
        <w:right w:val="none" w:sz="0" w:space="0" w:color="auto"/>
      </w:divBdr>
      <w:divsChild>
        <w:div w:id="1084498939">
          <w:marLeft w:val="0"/>
          <w:marRight w:val="0"/>
          <w:marTop w:val="0"/>
          <w:marBottom w:val="0"/>
          <w:divBdr>
            <w:top w:val="none" w:sz="0" w:space="0" w:color="auto"/>
            <w:left w:val="none" w:sz="0" w:space="0" w:color="auto"/>
            <w:bottom w:val="none" w:sz="0" w:space="0" w:color="auto"/>
            <w:right w:val="none" w:sz="0" w:space="0" w:color="auto"/>
          </w:divBdr>
          <w:divsChild>
            <w:div w:id="1614751598">
              <w:marLeft w:val="0"/>
              <w:marRight w:val="0"/>
              <w:marTop w:val="0"/>
              <w:marBottom w:val="0"/>
              <w:divBdr>
                <w:top w:val="none" w:sz="0" w:space="0" w:color="auto"/>
                <w:left w:val="none" w:sz="0" w:space="0" w:color="auto"/>
                <w:bottom w:val="none" w:sz="0" w:space="0" w:color="auto"/>
                <w:right w:val="none" w:sz="0" w:space="0" w:color="auto"/>
              </w:divBdr>
              <w:divsChild>
                <w:div w:id="2021153517">
                  <w:marLeft w:val="0"/>
                  <w:marRight w:val="0"/>
                  <w:marTop w:val="0"/>
                  <w:marBottom w:val="0"/>
                  <w:divBdr>
                    <w:top w:val="none" w:sz="0" w:space="0" w:color="auto"/>
                    <w:left w:val="none" w:sz="0" w:space="0" w:color="auto"/>
                    <w:bottom w:val="none" w:sz="0" w:space="0" w:color="auto"/>
                    <w:right w:val="none" w:sz="0" w:space="0" w:color="auto"/>
                  </w:divBdr>
                  <w:divsChild>
                    <w:div w:id="2026861069">
                      <w:marLeft w:val="99"/>
                      <w:marRight w:val="99"/>
                      <w:marTop w:val="0"/>
                      <w:marBottom w:val="0"/>
                      <w:divBdr>
                        <w:top w:val="none" w:sz="0" w:space="0" w:color="auto"/>
                        <w:left w:val="none" w:sz="0" w:space="0" w:color="auto"/>
                        <w:bottom w:val="none" w:sz="0" w:space="0" w:color="auto"/>
                        <w:right w:val="none" w:sz="0" w:space="0" w:color="auto"/>
                      </w:divBdr>
                      <w:divsChild>
                        <w:div w:id="450632422">
                          <w:marLeft w:val="0"/>
                          <w:marRight w:val="0"/>
                          <w:marTop w:val="0"/>
                          <w:marBottom w:val="0"/>
                          <w:divBdr>
                            <w:top w:val="none" w:sz="0" w:space="0" w:color="auto"/>
                            <w:left w:val="none" w:sz="0" w:space="0" w:color="auto"/>
                            <w:bottom w:val="none" w:sz="0" w:space="0" w:color="auto"/>
                            <w:right w:val="none" w:sz="0" w:space="0" w:color="auto"/>
                          </w:divBdr>
                          <w:divsChild>
                            <w:div w:id="1753432376">
                              <w:marLeft w:val="0"/>
                              <w:marRight w:val="0"/>
                              <w:marTop w:val="0"/>
                              <w:marBottom w:val="0"/>
                              <w:divBdr>
                                <w:top w:val="none" w:sz="0" w:space="0" w:color="auto"/>
                                <w:left w:val="none" w:sz="0" w:space="0" w:color="auto"/>
                                <w:bottom w:val="none" w:sz="0" w:space="0" w:color="auto"/>
                                <w:right w:val="none" w:sz="0" w:space="0" w:color="auto"/>
                              </w:divBdr>
                              <w:divsChild>
                                <w:div w:id="1064060982">
                                  <w:marLeft w:val="0"/>
                                  <w:marRight w:val="0"/>
                                  <w:marTop w:val="0"/>
                                  <w:marBottom w:val="0"/>
                                  <w:divBdr>
                                    <w:top w:val="none" w:sz="0" w:space="0" w:color="auto"/>
                                    <w:left w:val="none" w:sz="0" w:space="0" w:color="auto"/>
                                    <w:bottom w:val="none" w:sz="0" w:space="0" w:color="auto"/>
                                    <w:right w:val="none" w:sz="0" w:space="0" w:color="auto"/>
                                  </w:divBdr>
                                  <w:divsChild>
                                    <w:div w:id="966199765">
                                      <w:marLeft w:val="0"/>
                                      <w:marRight w:val="0"/>
                                      <w:marTop w:val="0"/>
                                      <w:marBottom w:val="0"/>
                                      <w:divBdr>
                                        <w:top w:val="none" w:sz="0" w:space="0" w:color="auto"/>
                                        <w:left w:val="none" w:sz="0" w:space="0" w:color="auto"/>
                                        <w:bottom w:val="none" w:sz="0" w:space="0" w:color="auto"/>
                                        <w:right w:val="none" w:sz="0" w:space="0" w:color="auto"/>
                                      </w:divBdr>
                                      <w:divsChild>
                                        <w:div w:id="6321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2338</Words>
  <Characters>13333</Characters>
  <Application>Microsoft Office Word</Application>
  <DocSecurity>0</DocSecurity>
  <Lines>111</Lines>
  <Paragraphs>31</Paragraphs>
  <ScaleCrop>false</ScaleCrop>
  <Company>微软中国</Company>
  <LinksUpToDate>false</LinksUpToDate>
  <CharactersWithSpaces>15640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2016-03-15T03:27:00Z</dcterms:created>
  <dcterms:modified xsi:type="dcterms:W3CDTF">2016-03-15T03:27:00Z</dcterms:modified>
</cp:coreProperties>
</file>