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AD" w:rsidRPr="00D806AD" w:rsidRDefault="00D806AD" w:rsidP="00D806AD">
      <w:pPr>
        <w:widowControl/>
        <w:spacing w:beforeLines="50" w:before="156" w:afterLines="50" w:after="156" w:line="590" w:lineRule="exact"/>
        <w:ind w:left="225"/>
        <w:jc w:val="center"/>
        <w:rPr>
          <w:rFonts w:ascii="宋体" w:eastAsia="宋体" w:hAnsi="宋体" w:cs="宋体"/>
          <w:color w:val="000000"/>
          <w:kern w:val="0"/>
          <w:sz w:val="24"/>
          <w:szCs w:val="24"/>
        </w:rPr>
      </w:pPr>
      <w:r w:rsidRPr="00D806AD">
        <w:rPr>
          <w:rFonts w:ascii="黑体" w:eastAsia="黑体" w:hAnsi="黑体" w:cs="宋体" w:hint="eastAsia"/>
          <w:color w:val="000000"/>
          <w:sz w:val="36"/>
          <w:szCs w:val="36"/>
        </w:rPr>
        <w:t>漳州市2016年度紧缺急需人才引进指导目录</w:t>
      </w: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trHeight w:val="420"/>
          <w:jc w:val="center"/>
        </w:trPr>
        <w:tc>
          <w:tcPr>
            <w:tcW w:w="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产业或行业</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主要涉及领域</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主要涉及岗位</w:t>
            </w:r>
          </w:p>
        </w:tc>
        <w:tc>
          <w:tcPr>
            <w:tcW w:w="251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专业要求</w:t>
            </w:r>
            <w:r w:rsidRPr="00D806AD">
              <w:rPr>
                <w:rFonts w:ascii="宋体" w:eastAsia="仿宋_GB2312" w:hAnsi="宋体" w:cs="宋体" w:hint="eastAsia"/>
                <w:b/>
                <w:bCs/>
                <w:color w:val="666666"/>
                <w:kern w:val="0"/>
                <w:szCs w:val="21"/>
              </w:rPr>
              <w:t> </w:t>
            </w:r>
          </w:p>
        </w:tc>
        <w:tc>
          <w:tcPr>
            <w:tcW w:w="17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条件要求</w:t>
            </w:r>
          </w:p>
        </w:tc>
      </w:tr>
      <w:tr w:rsidR="00D806AD" w:rsidRPr="00D806AD" w:rsidTr="00D806AD">
        <w:trPr>
          <w:cantSplit/>
          <w:trHeight w:val="420"/>
          <w:jc w:val="center"/>
        </w:trPr>
        <w:tc>
          <w:tcPr>
            <w:tcW w:w="81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电子</w:t>
            </w:r>
          </w:p>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信息</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软件产业</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软件程序开发</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信息工程、电子科学与技术、通信工程、微电子科学与工程、光电信息科学与工程、信息工程、集成电路设计与集成系统、电磁场与无线技术、计算机科学与技术、软件工程、网络工程、数字媒体技术、电子与计算机工程、电气工程、机械电子工程、控制科学与工程、纳米材料与技术、新能源材料与器件、国际经济与贸易、市场营销、知识产权、</w:t>
            </w:r>
            <w:proofErr w:type="gramStart"/>
            <w:r w:rsidRPr="00D806AD">
              <w:rPr>
                <w:rFonts w:ascii="仿宋_GB2312" w:eastAsia="仿宋_GB2312" w:hAnsi="宋体" w:cs="宋体" w:hint="eastAsia"/>
                <w:color w:val="666666"/>
                <w:kern w:val="0"/>
                <w:szCs w:val="21"/>
              </w:rPr>
              <w:t>动漫设计</w:t>
            </w:r>
            <w:proofErr w:type="gramEnd"/>
            <w:r w:rsidRPr="00D806AD">
              <w:rPr>
                <w:rFonts w:ascii="仿宋_GB2312" w:eastAsia="仿宋_GB2312" w:hAnsi="宋体" w:cs="宋体" w:hint="eastAsia"/>
                <w:color w:val="666666"/>
                <w:kern w:val="0"/>
                <w:szCs w:val="21"/>
              </w:rPr>
              <w:t>与制作、材料科学与工程、卫星数字技术</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39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系统架构和分析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嵌入式开发、信息系统集成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9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软件设计、软件外包</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34"/>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交互设计、界面设计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2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动漫游戏、三维动画</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9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信息技术产品制造</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计算机及网络产品研发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3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数字视听产品研发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3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移动通信产品研发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2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集成电路产品研发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光电子产品研发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信息技术应用</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信息系统工程建设</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信息化及网络应用</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3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交通工程自动控制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射频网络设计与分析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2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信息技术公共服务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8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无线电管理</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频谱规划与台站管理</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4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无线电监测与电磁兼容分析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指挥通信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电子商务</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市场营销、品牌推广</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9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产品检验、专利审查</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电子信息产品检验与研究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电子信息产品专利审查</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装备</w:t>
            </w:r>
          </w:p>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制造</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机械设计、制造与控制</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机械工程、机械设计制造及其自动化、电气工程、机械电子工程、控制科学与工程、机械工艺技术、仪器科学与技术、测控技术与仪器、材料科学与工程、金属材料工程、焊接</w:t>
            </w:r>
            <w:r w:rsidRPr="00D806AD">
              <w:rPr>
                <w:rFonts w:ascii="仿宋_GB2312" w:eastAsia="仿宋_GB2312" w:hAnsi="宋体" w:cs="宋体" w:hint="eastAsia"/>
                <w:color w:val="666666"/>
                <w:kern w:val="0"/>
                <w:szCs w:val="21"/>
              </w:rPr>
              <w:lastRenderedPageBreak/>
              <w:t>技术与工程、动力工程及工程热物理、兵器科学与技术、飞行器设计与工程、生物医学工程、知识产权、光电信息科学与工程、电子信息工程、工程力学、工业工程、能源与动力工程、计算机科学与技术、车辆工程、工业设计、粒子物理与原子核物理、智能科学与技术、3D打印技术、化工设备与机械、环境科学与工程</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w:t>
            </w:r>
            <w:r w:rsidRPr="00D806AD">
              <w:rPr>
                <w:rFonts w:ascii="仿宋_GB2312" w:eastAsia="仿宋_GB2312" w:hAnsi="宋体" w:cs="宋体" w:hint="eastAsia"/>
                <w:color w:val="666666"/>
                <w:kern w:val="0"/>
                <w:szCs w:val="21"/>
              </w:rPr>
              <w:lastRenderedPageBreak/>
              <w:t>力和较高的专业技术水平</w:t>
            </w: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液压传动</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机电一体化</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0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数控机床、电气装备研发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检测技术应用</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特种设备标准体系建设</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工程机械振动测试平台建设</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医用仪器设备检定</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1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长度、测力计量</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电学检定、力学检定</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质量、计量检测</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特种设备节能技术</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电梯节能技术研究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1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锅炉节能技术应用</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承压设备安全评价与修复</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断裂力学失效分析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1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金相分析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焊接工艺</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9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电梯起重机电气控制</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电梯起重机检测技术研究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2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机器人技术</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特种设备应急救援、机器人在检验中的应用</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7"/>
          <w:jc w:val="center"/>
        </w:trPr>
        <w:tc>
          <w:tcPr>
            <w:tcW w:w="81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石化</w:t>
            </w:r>
          </w:p>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工业</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石油加工</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石油加工</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石油与天然气工程、化学工程与技术、高分子材料与工程、生物技术、控制科学与工程、仪器科学与技术、电气工程、自动化、材料科学与工程、材料化学、应用化学、橡塑制品成型工艺、知识产权、油气储运工程、能源化学工程、兵器科学与技术、机械工程、纺织科学与工程</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1、具有副高以上职称，或硕士以上学位，或高级技师资格；</w:t>
            </w:r>
            <w:r w:rsidRPr="00D806AD">
              <w:rPr>
                <w:rFonts w:ascii="仿宋_GB2312" w:eastAsia="仿宋_GB2312" w:hAnsi="宋体" w:cs="宋体" w:hint="eastAsia"/>
                <w:color w:val="666666"/>
                <w:kern w:val="0"/>
                <w:szCs w:val="21"/>
              </w:rPr>
              <w:br/>
              <w:t>2、年龄在45周岁以下；有较强研发能力和较高的专业技术水平</w:t>
            </w:r>
          </w:p>
        </w:tc>
      </w:tr>
      <w:tr w:rsidR="00D806AD" w:rsidRPr="00D806AD" w:rsidTr="00D806AD">
        <w:trPr>
          <w:cantSplit/>
          <w:trHeight w:val="54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芳烃烯烃等上游产品加工</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化学工业</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合成材料</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橡胶制品及轮胎</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精细化工</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化工机械</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仪器仪表自动化</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6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基础化学原料</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6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化肥、农药</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1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替代能源</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0"/>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承压设备腐蚀与防护研究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石油化工工艺数据采集</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1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产品研发、专利审查</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产品检验与研究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39"/>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7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专利审查</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47"/>
          <w:jc w:val="center"/>
        </w:trPr>
        <w:tc>
          <w:tcPr>
            <w:tcW w:w="81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汽车</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工业</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汽车制造</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汽车工程</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机械工程、机械设计制造及其自动化、车辆工程、电气工程、机械电子工程、动力工程及工程热物理、控制科学与工程、工业设计、机械工艺技术、汽车维修工程、知识产权、物流管理、汽车服务工程、市场营销</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3、有较高的专业技术水平和相关工作经历</w:t>
            </w:r>
          </w:p>
        </w:tc>
      </w:tr>
      <w:tr w:rsidR="00D806AD" w:rsidRPr="00D806AD" w:rsidTr="00D806AD">
        <w:trPr>
          <w:cantSplit/>
          <w:trHeight w:val="631"/>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汽车车型设计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5"/>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汽车零部件制造</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36"/>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高级经营管理、研发</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center"/>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957"/>
          <w:jc w:val="center"/>
        </w:trPr>
        <w:tc>
          <w:tcPr>
            <w:tcW w:w="81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地质</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矿产</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地质找矿</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区域地质调查、矿产勘查、农业地质调查</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地质资源与地质工程、资源勘查工程、勘查技术与工程、测绘</w:t>
            </w:r>
            <w:r w:rsidRPr="00D806AD">
              <w:rPr>
                <w:rFonts w:ascii="仿宋_GB2312" w:eastAsia="仿宋_GB2312" w:hAnsi="宋体" w:cs="宋体" w:hint="eastAsia"/>
                <w:b/>
                <w:bCs/>
                <w:color w:val="666666"/>
                <w:kern w:val="0"/>
                <w:szCs w:val="21"/>
              </w:rPr>
              <w:t>科学</w:t>
            </w:r>
            <w:r w:rsidRPr="00D806AD">
              <w:rPr>
                <w:rFonts w:ascii="仿宋_GB2312" w:eastAsia="仿宋_GB2312" w:hAnsi="宋体" w:cs="宋体" w:hint="eastAsia"/>
                <w:color w:val="666666"/>
                <w:kern w:val="0"/>
                <w:szCs w:val="21"/>
              </w:rPr>
              <w:t>与技术、地质工程、矿业工程、水文与水资源工程、资源环境科学、地球物理学、工程物理、土地资源管理、化学工程与技术、应用化学、机械设计制造及其自动化、机械电子工程、环境科学与工程、土木工程、给排水科学与工程、道路桥梁与渡河工程、工程管理、地理信息科学、地球化学、工程造价、农业资源与环境、土壤学、水土保持及荒漠化防治、遥感科学与技术、大地测量学</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1、具有博士学位或硕士学位、副高以上职称；</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1116"/>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水文、工程地质</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矿山水文地质勘查、地质灾害调查评估、环境地质调查</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11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勘探、遥感、测绘、测量</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矿山地球物理勘查、钻探、坑探、遥感解译、地理信息、工程测量</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9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摄影测量与遥感技术开发及应用</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7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大地测量技术开发及应用</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936"/>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化验分析</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土工实验、</w:t>
            </w:r>
            <w:proofErr w:type="gramStart"/>
            <w:r w:rsidRPr="00D806AD">
              <w:rPr>
                <w:rFonts w:ascii="仿宋_GB2312" w:eastAsia="仿宋_GB2312" w:hAnsi="宋体" w:cs="宋体" w:hint="eastAsia"/>
                <w:color w:val="666666"/>
                <w:kern w:val="0"/>
                <w:szCs w:val="21"/>
              </w:rPr>
              <w:t>岩矿分析</w:t>
            </w:r>
            <w:proofErr w:type="gramEnd"/>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06"/>
          <w:jc w:val="center"/>
        </w:trPr>
        <w:tc>
          <w:tcPr>
            <w:tcW w:w="811" w:type="dxa"/>
            <w:vMerge w:val="restart"/>
            <w:tcBorders>
              <w:top w:val="nil"/>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电机</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电器</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机械制造</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机械设计</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机械设计制造及其自动化、机械工艺技术、焊接技术与工程、动力工程及工程热物理、电气工程、自动化、计算机科学与技术、控制科学与工程、材料科学与工程、金属材料工程、机械电子工程、电子信息工程、仪器科学与技术、智能科学与技术、</w:t>
            </w:r>
            <w:proofErr w:type="gramStart"/>
            <w:r w:rsidRPr="00D806AD">
              <w:rPr>
                <w:rFonts w:ascii="仿宋_GB2312" w:eastAsia="仿宋_GB2312" w:hAnsi="宋体" w:cs="宋体" w:hint="eastAsia"/>
                <w:color w:val="666666"/>
                <w:kern w:val="0"/>
                <w:szCs w:val="21"/>
              </w:rPr>
              <w:t>微机电</w:t>
            </w:r>
            <w:proofErr w:type="gramEnd"/>
            <w:r w:rsidRPr="00D806AD">
              <w:rPr>
                <w:rFonts w:ascii="仿宋_GB2312" w:eastAsia="仿宋_GB2312" w:hAnsi="宋体" w:cs="宋体" w:hint="eastAsia"/>
                <w:color w:val="666666"/>
                <w:kern w:val="0"/>
                <w:szCs w:val="21"/>
              </w:rPr>
              <w:t>系统工程、机电技术、光电信息科学与工程、电子科学与技术、工商管理、高电压与绝缘技术、通信工程</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458"/>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机械加工工艺</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30"/>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内燃机制造工艺</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87"/>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电机电器、电缆</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电机电器设计、制造与控制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41"/>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电磁兼容与检验技术</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60"/>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智能仪表</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72"/>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工业自动化</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自动化系统设计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工厂信息化</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质量、计量检测</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电子、电气检验与研究</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60"/>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企业管理</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研发管理、专利审查</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center"/>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456"/>
          <w:jc w:val="center"/>
        </w:trPr>
        <w:tc>
          <w:tcPr>
            <w:tcW w:w="81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现代</w:t>
            </w:r>
          </w:p>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农业</w:t>
            </w:r>
          </w:p>
        </w:tc>
        <w:tc>
          <w:tcPr>
            <w:tcW w:w="1085"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生物工程</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新产品开发</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生物学、生物工程、生物技术、农业资源与环境、作物学、园艺学、农学、茶学、草学、种子科学与工程、食品科学与工程、畜牧学、兽医学、水产、生态学、包装工程、农业</w:t>
            </w:r>
            <w:r w:rsidRPr="00D806AD">
              <w:rPr>
                <w:rFonts w:ascii="仿宋_GB2312" w:eastAsia="仿宋_GB2312" w:hAnsi="宋体" w:cs="宋体" w:hint="eastAsia"/>
                <w:color w:val="666666"/>
                <w:kern w:val="0"/>
                <w:szCs w:val="21"/>
              </w:rPr>
              <w:lastRenderedPageBreak/>
              <w:t>工程、农业机械化及其自动化、地理信息科学、仪器科学与技术、化学工程与技术、植物科学与技术、农林经济管理、市场营销、植物保护、动植物检疫、分析化学、设施农业科学与工程、农业水利工程、园林、农产品保鲜、土壤学、植物病理学、植物营养学</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32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畜牧</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绿色农业</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农业生态资源开发</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动植物检疫</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4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农产品开发</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园艺（含蔬菜、花果）培植</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2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种苗培育</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4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农产品深加工</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农业科研</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植物分类、引种驯化</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分子生物学技术研究</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6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仪器分析、维修</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9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遗传育种研究</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0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农产品检测</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实验室检测和管理</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center"/>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548"/>
          <w:jc w:val="center"/>
        </w:trPr>
        <w:tc>
          <w:tcPr>
            <w:tcW w:w="81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气象</w:t>
            </w:r>
          </w:p>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科技</w:t>
            </w:r>
          </w:p>
        </w:tc>
        <w:tc>
          <w:tcPr>
            <w:tcW w:w="1085"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气象防灾减灾、大气科学研究与应用</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天气预报</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大气科学、气象学、气候学、大气物理、大气探测、应用气象、海洋气象</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1、具有副高以上职称或博士学位；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54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雷达探测</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应用气象</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9"/>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气候预测</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val="restart"/>
            <w:tcBorders>
              <w:top w:val="nil"/>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水利</w:t>
            </w:r>
          </w:p>
          <w:p w:rsidR="00D806AD" w:rsidRPr="00D806AD" w:rsidRDefault="00D806AD" w:rsidP="00D806AD">
            <w:pPr>
              <w:widowControl/>
              <w:spacing w:before="100" w:beforeAutospacing="1" w:after="100" w:afterAutospacing="1" w:line="32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水电</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水利水电技术</w:t>
            </w:r>
          </w:p>
        </w:tc>
        <w:tc>
          <w:tcPr>
            <w:tcW w:w="2340"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水电工程、管理</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水利水电工程、水文与水资源工程、道路桥梁与渡河工程、建筑工程、电气工程、机械电子工程、动力工程及工程热物理、农业水土工程</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1、具有博士学位或硕士学位、副高以上职称；</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465"/>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392"/>
          <w:jc w:val="center"/>
        </w:trPr>
        <w:tc>
          <w:tcPr>
            <w:tcW w:w="811" w:type="dxa"/>
            <w:vMerge w:val="restart"/>
            <w:tcBorders>
              <w:top w:val="nil"/>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1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能源</w:t>
            </w:r>
          </w:p>
          <w:p w:rsidR="00D806AD" w:rsidRPr="00D806AD" w:rsidRDefault="00D806AD" w:rsidP="00D806AD">
            <w:pPr>
              <w:widowControl/>
              <w:spacing w:before="100" w:beforeAutospacing="1" w:after="100" w:afterAutospacing="1" w:line="31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电力</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1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电力能源开发、生产</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1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能源动力</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水电工程、电气工程、自动化、电力工程与管理、新能源科学与工程、动力工程及工程热物理、核科学与技术、石油与天然气工程、控制科学与工程、土木工程、知识产权、机械工程、能源工程、智能电网信息工程</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2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1、具有博士学位或硕士学位、副高以上职称；</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3、有较强研发能力和较高的专业技术水平</w:t>
            </w:r>
          </w:p>
        </w:tc>
      </w:tr>
      <w:tr w:rsidR="00D806AD" w:rsidRPr="00D806AD" w:rsidTr="00D806AD">
        <w:trPr>
          <w:cantSplit/>
          <w:trHeight w:val="1238"/>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1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燃气生产及供应</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1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燃气生产及安全管理</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center"/>
        <w:rPr>
          <w:rFonts w:ascii="Arial" w:eastAsia="宋体" w:hAnsi="Arial" w:cs="Arial"/>
          <w:vanish/>
          <w:color w:val="000000"/>
          <w:kern w:val="0"/>
          <w:szCs w:val="21"/>
        </w:rPr>
      </w:pPr>
    </w:p>
    <w:tbl>
      <w:tblPr>
        <w:tblW w:w="8460" w:type="dxa"/>
        <w:jc w:val="center"/>
        <w:tblCellMar>
          <w:top w:w="15" w:type="dxa"/>
          <w:left w:w="15" w:type="dxa"/>
          <w:bottom w:w="15" w:type="dxa"/>
          <w:right w:w="15" w:type="dxa"/>
        </w:tblCellMar>
        <w:tblLook w:val="04A0" w:firstRow="1" w:lastRow="0" w:firstColumn="1" w:lastColumn="0" w:noHBand="0" w:noVBand="1"/>
      </w:tblPr>
      <w:tblGrid>
        <w:gridCol w:w="870"/>
        <w:gridCol w:w="1125"/>
        <w:gridCol w:w="2250"/>
        <w:gridCol w:w="2520"/>
        <w:gridCol w:w="1695"/>
      </w:tblGrid>
      <w:tr w:rsidR="00D806AD" w:rsidRPr="00D806AD" w:rsidTr="00D806AD">
        <w:trPr>
          <w:trHeight w:val="750"/>
          <w:jc w:val="center"/>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center"/>
              <w:rPr>
                <w:rFonts w:ascii="Arial" w:eastAsia="宋体" w:hAnsi="Arial" w:cs="Arial"/>
                <w:b/>
                <w:bCs/>
                <w:color w:val="000000"/>
                <w:kern w:val="0"/>
                <w:szCs w:val="21"/>
              </w:rPr>
            </w:pPr>
            <w:r w:rsidRPr="00D806AD">
              <w:rPr>
                <w:rFonts w:ascii="Arial" w:eastAsia="宋体" w:hAnsi="Arial" w:cs="Arial"/>
                <w:b/>
                <w:bCs/>
                <w:color w:val="000000"/>
                <w:kern w:val="0"/>
                <w:szCs w:val="21"/>
              </w:rPr>
              <w:t>环境</w:t>
            </w:r>
            <w:r w:rsidRPr="00D806AD">
              <w:rPr>
                <w:rFonts w:ascii="Arial" w:eastAsia="宋体" w:hAnsi="Arial" w:cs="Arial"/>
                <w:b/>
                <w:bCs/>
                <w:color w:val="000000"/>
                <w:kern w:val="0"/>
                <w:szCs w:val="21"/>
              </w:rPr>
              <w:br/>
            </w:r>
            <w:r w:rsidRPr="00D806AD">
              <w:rPr>
                <w:rFonts w:ascii="Arial" w:eastAsia="宋体" w:hAnsi="Arial" w:cs="Arial"/>
                <w:b/>
                <w:bCs/>
                <w:color w:val="000000"/>
                <w:kern w:val="0"/>
                <w:szCs w:val="21"/>
              </w:rPr>
              <w:t>保护</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环境科研、监测</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水污染治理控制</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环境科学与工程、分析化学、环境化学、核科学与技术、资源循环科学与工程、环保设备工程、化学工程与技术、大气科学、水利工程、气象学、生物防治、物理化学、放化分</w:t>
            </w:r>
            <w:r w:rsidRPr="00D806AD">
              <w:rPr>
                <w:rFonts w:ascii="Arial" w:eastAsia="宋体" w:hAnsi="Arial" w:cs="Arial"/>
                <w:color w:val="000000"/>
                <w:kern w:val="0"/>
                <w:szCs w:val="21"/>
              </w:rPr>
              <w:lastRenderedPageBreak/>
              <w:t>析、无线电物理、工业环保与安全技术、救援技术、环境监察、环境管理、仪器仪表工程</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lastRenderedPageBreak/>
              <w:t>1</w:t>
            </w:r>
            <w:r w:rsidRPr="00D806AD">
              <w:rPr>
                <w:rFonts w:ascii="Arial" w:eastAsia="宋体" w:hAnsi="Arial" w:cs="Arial"/>
                <w:color w:val="000000"/>
                <w:kern w:val="0"/>
                <w:szCs w:val="21"/>
              </w:rPr>
              <w:t>、具有副高以上职称或硕士以上学位；</w:t>
            </w:r>
            <w:r w:rsidRPr="00D806AD">
              <w:rPr>
                <w:rFonts w:ascii="Arial" w:eastAsia="宋体" w:hAnsi="Arial" w:cs="Arial"/>
                <w:color w:val="000000"/>
                <w:kern w:val="0"/>
                <w:szCs w:val="21"/>
              </w:rPr>
              <w:t xml:space="preserve"> </w:t>
            </w:r>
            <w:r w:rsidRPr="00D806AD">
              <w:rPr>
                <w:rFonts w:ascii="Arial" w:eastAsia="宋体" w:hAnsi="Arial" w:cs="Arial"/>
                <w:color w:val="000000"/>
                <w:kern w:val="0"/>
                <w:szCs w:val="21"/>
              </w:rPr>
              <w:br/>
              <w:t>2</w:t>
            </w:r>
            <w:r w:rsidRPr="00D806AD">
              <w:rPr>
                <w:rFonts w:ascii="Arial" w:eastAsia="宋体" w:hAnsi="Arial" w:cs="Arial"/>
                <w:color w:val="000000"/>
                <w:kern w:val="0"/>
                <w:szCs w:val="21"/>
              </w:rPr>
              <w:t>、年龄在</w:t>
            </w:r>
            <w:r w:rsidRPr="00D806AD">
              <w:rPr>
                <w:rFonts w:ascii="Arial" w:eastAsia="宋体" w:hAnsi="Arial" w:cs="Arial"/>
                <w:color w:val="000000"/>
                <w:kern w:val="0"/>
                <w:szCs w:val="21"/>
              </w:rPr>
              <w:t>40</w:t>
            </w:r>
            <w:r w:rsidRPr="00D806AD">
              <w:rPr>
                <w:rFonts w:ascii="Arial" w:eastAsia="宋体" w:hAnsi="Arial" w:cs="Arial"/>
                <w:color w:val="000000"/>
                <w:kern w:val="0"/>
                <w:szCs w:val="21"/>
              </w:rPr>
              <w:t>周岁以下；</w:t>
            </w:r>
            <w:r w:rsidRPr="00D806AD">
              <w:rPr>
                <w:rFonts w:ascii="Arial" w:eastAsia="宋体" w:hAnsi="Arial" w:cs="Arial"/>
                <w:color w:val="000000"/>
                <w:kern w:val="0"/>
                <w:szCs w:val="21"/>
              </w:rPr>
              <w:br/>
              <w:t>3</w:t>
            </w:r>
            <w:r w:rsidRPr="00D806AD">
              <w:rPr>
                <w:rFonts w:ascii="Arial" w:eastAsia="宋体" w:hAnsi="Arial" w:cs="Arial"/>
                <w:color w:val="000000"/>
                <w:kern w:val="0"/>
                <w:szCs w:val="21"/>
              </w:rPr>
              <w:t>、有较强研发能</w:t>
            </w:r>
            <w:r w:rsidRPr="00D806AD">
              <w:rPr>
                <w:rFonts w:ascii="Arial" w:eastAsia="宋体" w:hAnsi="Arial" w:cs="Arial"/>
                <w:color w:val="000000"/>
                <w:kern w:val="0"/>
                <w:szCs w:val="21"/>
              </w:rPr>
              <w:lastRenderedPageBreak/>
              <w:t>力和较高的专业技术水平。</w:t>
            </w:r>
          </w:p>
        </w:tc>
      </w:tr>
      <w:tr w:rsidR="00D806AD" w:rsidRPr="00D806AD" w:rsidTr="00D806AD">
        <w:trPr>
          <w:trHeight w:val="7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b/>
                <w:bCs/>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生态环境保护研究</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r>
      <w:tr w:rsidR="00D806AD" w:rsidRPr="00D806AD" w:rsidTr="00D806AD">
        <w:trPr>
          <w:trHeight w:val="7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b/>
                <w:bCs/>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监测综合技术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r>
      <w:tr w:rsidR="00D806AD" w:rsidRPr="00D806AD" w:rsidTr="00D806AD">
        <w:trPr>
          <w:trHeight w:val="7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b/>
                <w:bCs/>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spacing w:line="280" w:lineRule="atLeast"/>
              <w:jc w:val="left"/>
              <w:rPr>
                <w:rFonts w:ascii="Arial" w:eastAsia="宋体" w:hAnsi="Arial" w:cs="Arial"/>
                <w:color w:val="000000"/>
                <w:kern w:val="0"/>
                <w:szCs w:val="21"/>
              </w:rPr>
            </w:pPr>
            <w:r w:rsidRPr="00D806AD">
              <w:rPr>
                <w:rFonts w:ascii="Arial" w:eastAsia="宋体" w:hAnsi="Arial" w:cs="Arial"/>
                <w:color w:val="000000"/>
                <w:kern w:val="0"/>
                <w:szCs w:val="21"/>
              </w:rPr>
              <w:t>仪器分析</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6AD" w:rsidRPr="00D806AD" w:rsidRDefault="00D806AD" w:rsidP="00D806AD">
            <w:pPr>
              <w:widowControl/>
              <w:jc w:val="center"/>
              <w:rPr>
                <w:rFonts w:ascii="Arial" w:eastAsia="宋体" w:hAnsi="Arial" w:cs="Arial"/>
                <w:color w:val="000000"/>
                <w:kern w:val="0"/>
                <w:szCs w:val="21"/>
              </w:rPr>
            </w:pPr>
          </w:p>
        </w:tc>
      </w:tr>
    </w:tbl>
    <w:p w:rsidR="00D806AD" w:rsidRPr="00D806AD" w:rsidRDefault="00D806AD" w:rsidP="00D806AD">
      <w:pPr>
        <w:widowControl/>
        <w:spacing w:before="100" w:beforeAutospacing="1" w:after="100" w:afterAutospacing="1"/>
        <w:ind w:left="225"/>
        <w:jc w:val="center"/>
        <w:rPr>
          <w:rFonts w:ascii="Arial" w:eastAsia="宋体" w:hAnsi="Arial" w:cs="Arial"/>
          <w:color w:val="000000"/>
          <w:kern w:val="0"/>
          <w:szCs w:val="21"/>
        </w:rPr>
      </w:pPr>
      <w:r w:rsidRPr="00D806AD">
        <w:rPr>
          <w:rFonts w:ascii="Arial" w:eastAsia="宋体" w:hAnsi="Arial" w:cs="Arial"/>
          <w:color w:val="000000"/>
          <w:kern w:val="0"/>
          <w:szCs w:val="21"/>
        </w:rPr>
        <w:lastRenderedPageBreak/>
        <w:t xml:space="preserve">  </w:t>
      </w: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555"/>
          <w:jc w:val="center"/>
        </w:trPr>
        <w:tc>
          <w:tcPr>
            <w:tcW w:w="81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城乡</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建设</w:t>
            </w:r>
          </w:p>
        </w:tc>
        <w:tc>
          <w:tcPr>
            <w:tcW w:w="1085"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建筑工程</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项目监理、施工</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学、土木工程、材料科学与工程、动力工程及工程热物理、水利水电工程、给排水科学与工程、风景园林学、建筑环境与能源应用工程、工程管理、道路桥梁与渡河工程、工程造价、电气工程、建筑环境与设备工程、建筑设备工程技术、机械工程、城市地下空间工程、铁道工程、通风与空调工程</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博士学位；或硕士学位、副高以上职称、年龄在45周岁以下；或学士学位，4年以上工作经验，国家一级注册建筑（结构）师、注册公用设备（岩土）工程师、注册建造师、注册造价工程师、注册监理工程师、注册安全工程师、注册设备工程师、注册电气工程师资格；</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建筑工程设计</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建筑智能化</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给排水</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概预算</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工程建设信息技术研发</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射频网络设计与分析</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8"/>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建筑起重机械</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48"/>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城市轨道交通工程</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903"/>
          <w:jc w:val="center"/>
        </w:trPr>
        <w:tc>
          <w:tcPr>
            <w:tcW w:w="811" w:type="dxa"/>
            <w:vMerge w:val="restart"/>
            <w:tcBorders>
              <w:top w:val="nil"/>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城乡</w:t>
            </w:r>
          </w:p>
          <w:p w:rsidR="00D806AD" w:rsidRPr="00D806AD" w:rsidRDefault="00D806AD" w:rsidP="00D806AD">
            <w:pPr>
              <w:widowControl/>
              <w:spacing w:before="100" w:beforeAutospacing="1" w:after="100" w:afterAutospacing="1" w:line="34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建设</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城乡规划与建设</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城乡规划</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规划学、风景园林学、道路桥梁与渡河工程、工程管理、港口航道与海岸工程、环境科学与工程、园艺学、建筑学、水利水电工程、交通运输工程、人文地理学、地理信息科学、测绘工程与技术、草业科学、石油与天然气工程、土木工程、工程力学、资源环境与城乡规划管理、建筑环境与设备工程、土地资源管理、房地产经营管理、行政法律事务</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1、具有副高以上职称或硕士以上学位；</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3、有较高的专业技术水平</w:t>
            </w:r>
          </w:p>
        </w:tc>
      </w:tr>
      <w:tr w:rsidR="00D806AD" w:rsidRPr="00D806AD" w:rsidTr="00D806AD">
        <w:trPr>
          <w:cantSplit/>
          <w:trHeight w:val="690"/>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园林设计</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34"/>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城乡绿化</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45"/>
          <w:jc w:val="center"/>
        </w:trPr>
        <w:tc>
          <w:tcPr>
            <w:tcW w:w="811" w:type="dxa"/>
            <w:vMerge/>
            <w:tcBorders>
              <w:top w:val="nil"/>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投资发展</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left"/>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512"/>
          <w:jc w:val="center"/>
        </w:trPr>
        <w:tc>
          <w:tcPr>
            <w:tcW w:w="811"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金融</w:t>
            </w:r>
          </w:p>
          <w:p w:rsidR="00D806AD" w:rsidRPr="00D806AD" w:rsidRDefault="00D806AD" w:rsidP="00D806AD">
            <w:pPr>
              <w:widowControl/>
              <w:spacing w:before="100" w:beforeAutospacing="1" w:after="100" w:afterAutospacing="1" w:line="34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服务</w:t>
            </w:r>
          </w:p>
        </w:tc>
        <w:tc>
          <w:tcPr>
            <w:tcW w:w="1085"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产品研发</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金融市场咨询分析</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经济学、金融学、财政学、会计学、统计学、数学、国际经济与贸易、法学、工商管理、保险学、公共管理、投资学、税收学、审计学、财务管理</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1、具有博士学位，或硕士学位、副高以上职称；</w:t>
            </w:r>
            <w:r w:rsidRPr="00D806AD">
              <w:rPr>
                <w:rFonts w:ascii="仿宋_GB2312" w:eastAsia="仿宋_GB2312" w:hAnsi="宋体" w:cs="宋体" w:hint="eastAsia"/>
                <w:color w:val="666666"/>
                <w:kern w:val="0"/>
                <w:szCs w:val="21"/>
              </w:rPr>
              <w:br/>
              <w:t>2、年龄在45周岁以下；</w:t>
            </w:r>
            <w:r w:rsidRPr="00D806AD">
              <w:rPr>
                <w:rFonts w:ascii="仿宋_GB2312" w:eastAsia="仿宋_GB2312" w:hAnsi="宋体" w:cs="宋体" w:hint="eastAsia"/>
                <w:color w:val="666666"/>
                <w:kern w:val="0"/>
                <w:szCs w:val="21"/>
              </w:rPr>
              <w:br/>
              <w:t>3、取得相关执业资格证书，5年以上资本运作、投资银行等方面工作经验</w:t>
            </w:r>
          </w:p>
        </w:tc>
      </w:tr>
      <w:tr w:rsidR="00D806AD" w:rsidRPr="00D806AD" w:rsidTr="00D806AD">
        <w:trPr>
          <w:cantSplit/>
          <w:trHeight w:val="37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金融产品开发</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证券投资与开发</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0"/>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保险、信托、基金、典当产品设计开发</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83"/>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互联网金融</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国际经济与贸易</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8"/>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业务管理</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IT项目管理</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65"/>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投资业务管理</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0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3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证券交易</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资金交易</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8"/>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外汇交易</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11"/>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风险控制</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风险评估与管理</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58"/>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保险精算</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1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核保核赔</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04"/>
          <w:jc w:val="center"/>
        </w:trPr>
        <w:tc>
          <w:tcPr>
            <w:tcW w:w="811" w:type="dxa"/>
            <w:vMerge/>
            <w:tcBorders>
              <w:top w:val="single" w:sz="4" w:space="0" w:color="auto"/>
              <w:left w:val="single" w:sz="4" w:space="0" w:color="auto"/>
              <w:bottom w:val="nil"/>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财务监控、高级财务分析</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left"/>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trHeight w:val="2796"/>
          <w:jc w:val="center"/>
        </w:trPr>
        <w:tc>
          <w:tcPr>
            <w:tcW w:w="81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文化</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体育</w:t>
            </w:r>
          </w:p>
        </w:tc>
        <w:tc>
          <w:tcPr>
            <w:tcW w:w="1085"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文化事业与产业</w:t>
            </w:r>
          </w:p>
        </w:tc>
        <w:tc>
          <w:tcPr>
            <w:tcW w:w="234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文化创意设计</w:t>
            </w:r>
          </w:p>
        </w:tc>
        <w:tc>
          <w:tcPr>
            <w:tcW w:w="251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导演、设计学、编剧、新闻传播学、广告学、声乐、作曲、舞蹈、器乐、杂技、越剧、京剧、话剧、播音与主持艺术、美术学、企业管理、指挥、生物科学、生物技术、历史学、图书馆学、文物与博物馆学、文艺学、影视管理、文物保护技术、动画、古典文献学、计算机科学与技术、情报学、经济学、法学、文化产业管理、戏剧影视文化、传媒策划与管理、</w:t>
            </w:r>
            <w:proofErr w:type="gramStart"/>
            <w:r w:rsidRPr="00D806AD">
              <w:rPr>
                <w:rFonts w:ascii="仿宋_GB2312" w:eastAsia="仿宋_GB2312" w:hAnsi="宋体" w:cs="宋体" w:hint="eastAsia"/>
                <w:color w:val="666666"/>
                <w:kern w:val="0"/>
                <w:szCs w:val="21"/>
              </w:rPr>
              <w:t>动漫设计</w:t>
            </w:r>
            <w:proofErr w:type="gramEnd"/>
            <w:r w:rsidRPr="00D806AD">
              <w:rPr>
                <w:rFonts w:ascii="仿宋_GB2312" w:eastAsia="仿宋_GB2312" w:hAnsi="宋体" w:cs="宋体" w:hint="eastAsia"/>
                <w:color w:val="666666"/>
                <w:kern w:val="0"/>
                <w:szCs w:val="21"/>
              </w:rPr>
              <w:t>与制作、中国语言文学、编</w:t>
            </w:r>
            <w:r w:rsidRPr="00D806AD">
              <w:rPr>
                <w:rFonts w:ascii="仿宋_GB2312" w:eastAsia="仿宋_GB2312" w:hAnsi="宋体" w:cs="宋体" w:hint="eastAsia"/>
                <w:color w:val="666666"/>
                <w:kern w:val="0"/>
                <w:szCs w:val="21"/>
              </w:rPr>
              <w:lastRenderedPageBreak/>
              <w:t>辑出版学、数字出版、市场营销、信息与通信工程、管理科学与工程、知识产权</w:t>
            </w:r>
          </w:p>
        </w:tc>
        <w:tc>
          <w:tcPr>
            <w:tcW w:w="170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4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1、创作类：具有副高职称、年龄在45周岁以下，或具有正高职称，年龄在50周岁以下；所编（导）剧目（作品）在省级以上专业比赛或展演中获奖；</w:t>
            </w:r>
            <w:r w:rsidRPr="00D806AD">
              <w:rPr>
                <w:rFonts w:ascii="仿宋_GB2312" w:eastAsia="仿宋_GB2312" w:hAnsi="宋体" w:cs="宋体" w:hint="eastAsia"/>
                <w:color w:val="666666"/>
                <w:kern w:val="0"/>
                <w:szCs w:val="21"/>
              </w:rPr>
              <w:br/>
              <w:t>2、动漫、影视制作类：具有学士学位、中级以上职称，年龄在40周岁以下，作品被省级以上电视台、影视中心采用播出；</w:t>
            </w:r>
            <w:r w:rsidRPr="00D806AD">
              <w:rPr>
                <w:rFonts w:ascii="仿宋_GB2312" w:eastAsia="仿宋_GB2312" w:hAnsi="宋体" w:cs="宋体" w:hint="eastAsia"/>
                <w:color w:val="666666"/>
                <w:kern w:val="0"/>
                <w:szCs w:val="21"/>
              </w:rPr>
              <w:br/>
              <w:t>3、表演类：表演</w:t>
            </w:r>
            <w:proofErr w:type="gramStart"/>
            <w:r w:rsidRPr="00D806AD">
              <w:rPr>
                <w:rFonts w:ascii="仿宋_GB2312" w:eastAsia="仿宋_GB2312" w:hAnsi="宋体" w:cs="宋体" w:hint="eastAsia"/>
                <w:color w:val="666666"/>
                <w:kern w:val="0"/>
                <w:szCs w:val="21"/>
              </w:rPr>
              <w:t>人才获</w:t>
            </w:r>
            <w:proofErr w:type="gramEnd"/>
            <w:r w:rsidRPr="00D806AD">
              <w:rPr>
                <w:rFonts w:ascii="仿宋_GB2312" w:eastAsia="仿宋_GB2312" w:hAnsi="宋体" w:cs="宋体" w:hint="eastAsia"/>
                <w:color w:val="666666"/>
                <w:kern w:val="0"/>
                <w:szCs w:val="21"/>
              </w:rPr>
              <w:t>全国专业比赛二等奖以上或获省级专业比</w:t>
            </w:r>
            <w:r w:rsidRPr="00D806AD">
              <w:rPr>
                <w:rFonts w:ascii="仿宋_GB2312" w:eastAsia="仿宋_GB2312" w:hAnsi="宋体" w:cs="宋体" w:hint="eastAsia"/>
                <w:color w:val="666666"/>
                <w:kern w:val="0"/>
                <w:szCs w:val="21"/>
              </w:rPr>
              <w:lastRenderedPageBreak/>
              <w:t>赛一等奖以上，年龄在40周岁以下；演奏人才能胜任器乐首席并具有副高以上职称，年龄在45周岁以下；</w:t>
            </w:r>
            <w:r w:rsidRPr="00D806AD">
              <w:rPr>
                <w:rFonts w:ascii="仿宋_GB2312" w:eastAsia="仿宋_GB2312" w:hAnsi="宋体" w:cs="宋体" w:hint="eastAsia"/>
                <w:color w:val="666666"/>
                <w:kern w:val="0"/>
                <w:szCs w:val="21"/>
              </w:rPr>
              <w:br/>
              <w:t>4、理论研究类：具有副高以上职称、年龄在45周岁以下，发表30万字以上著作；</w:t>
            </w:r>
            <w:r w:rsidRPr="00D806AD">
              <w:rPr>
                <w:rFonts w:ascii="仿宋_GB2312" w:eastAsia="仿宋_GB2312" w:hAnsi="宋体" w:cs="宋体" w:hint="eastAsia"/>
                <w:color w:val="666666"/>
                <w:kern w:val="0"/>
                <w:szCs w:val="21"/>
              </w:rPr>
              <w:br/>
              <w:t>5、经营策划类：具有副高以上职称、年龄在45周岁以下，有较高的专业技术水平和相关工作经历；</w:t>
            </w:r>
            <w:r w:rsidRPr="00D806AD">
              <w:rPr>
                <w:rFonts w:ascii="仿宋_GB2312" w:eastAsia="仿宋_GB2312" w:hAnsi="宋体" w:cs="宋体" w:hint="eastAsia"/>
                <w:color w:val="666666"/>
                <w:kern w:val="0"/>
                <w:szCs w:val="21"/>
              </w:rPr>
              <w:br/>
              <w:t>6、文物保护类：古建筑修复、动植物标本修复和文物考古研究人才应具有副高以上职称，年龄在45周岁以下，主持过上述项目；其他人才应具有中级以上职称、硕士以上学位，年龄在40周岁以下，主持过相应项目；</w:t>
            </w:r>
            <w:r w:rsidRPr="00D806AD">
              <w:rPr>
                <w:rFonts w:ascii="仿宋_GB2312" w:eastAsia="仿宋_GB2312" w:hAnsi="宋体" w:cs="宋体" w:hint="eastAsia"/>
                <w:color w:val="666666"/>
                <w:kern w:val="0"/>
                <w:szCs w:val="21"/>
              </w:rPr>
              <w:br/>
              <w:t>7、古籍版本鉴定类：具有副高以上职称的古文献专业人才或具有古典文献学博士学位，年龄在45周岁以下，有相关工作经历；</w:t>
            </w:r>
            <w:r w:rsidRPr="00D806AD">
              <w:rPr>
                <w:rFonts w:ascii="仿宋_GB2312" w:eastAsia="仿宋_GB2312" w:hAnsi="宋体" w:cs="宋体" w:hint="eastAsia"/>
                <w:color w:val="666666"/>
                <w:kern w:val="0"/>
                <w:szCs w:val="21"/>
              </w:rPr>
              <w:br/>
              <w:t>8、参考咨询类：具有副高以上职称，年龄在45周岁以下，参与过国家级科研基金项目或主持过省部级科研项目，并获省部级以上科研成果二等奖以上；</w:t>
            </w:r>
            <w:r w:rsidRPr="00D806AD">
              <w:rPr>
                <w:rFonts w:ascii="仿宋_GB2312" w:eastAsia="仿宋_GB2312" w:hAnsi="宋体" w:cs="宋体" w:hint="eastAsia"/>
                <w:color w:val="666666"/>
                <w:kern w:val="0"/>
                <w:szCs w:val="21"/>
              </w:rPr>
              <w:br/>
              <w:t>9、图书馆学类：具有硕士以上学位，年龄在40周岁以下，从事书目工作3年以上</w:t>
            </w:r>
          </w:p>
        </w:tc>
      </w:tr>
      <w:tr w:rsidR="00D806AD" w:rsidRPr="00D806AD" w:rsidTr="00D806AD">
        <w:trPr>
          <w:cantSplit/>
          <w:trHeight w:val="312"/>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82"/>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文化产业经营管理</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82"/>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动漫、美术</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238"/>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图书馆学</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238"/>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艺术表演</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260"/>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影视制作</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151"/>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 xml:space="preserve">编剧、导演、指挥、作曲 </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349"/>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编辑、出版</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912"/>
          <w:jc w:val="cent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文物保护与修复</w:t>
            </w:r>
          </w:p>
        </w:tc>
        <w:tc>
          <w:tcPr>
            <w:tcW w:w="2519"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D806AD" w:rsidRPr="00D806AD" w:rsidRDefault="00D806AD" w:rsidP="00D806AD">
      <w:pPr>
        <w:widowControl/>
        <w:ind w:left="225"/>
        <w:jc w:val="left"/>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trHeight w:val="300"/>
          <w:jc w:val="center"/>
        </w:trPr>
        <w:tc>
          <w:tcPr>
            <w:tcW w:w="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文化</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体育</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竞技体育</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体育教练员</w:t>
            </w:r>
          </w:p>
        </w:tc>
        <w:tc>
          <w:tcPr>
            <w:tcW w:w="251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游泳（跳水、水球、花样游泳）、射箭、田径、羽毛球、棒球、篮球、拳击、皮划艇(激流回旋)、自行车、马术（速度赛马）、击剑、足球、体操（艺术体操、蹦床）、技巧、手球、曲棍球、柔道、现代五项、赛艇、帆船（帆板）、射击、垒球、乒乓球、跆拳道、网球、铁人三项、排球（沙滩排球）、举重、国际式摔跤、速度滑冰、短道速度滑冰、花样滑冰、自由式滑雪、武术（套路、散打）、高尔夫球、运动训练</w:t>
            </w:r>
          </w:p>
        </w:tc>
        <w:tc>
          <w:tcPr>
            <w:tcW w:w="17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1、具有大专以上学历，身体健康；</w:t>
            </w:r>
            <w:r w:rsidRPr="00D806AD">
              <w:rPr>
                <w:rFonts w:ascii="仿宋_GB2312" w:eastAsia="仿宋_GB2312" w:hAnsi="宋体" w:cs="宋体" w:hint="eastAsia"/>
                <w:color w:val="666666"/>
                <w:kern w:val="0"/>
                <w:szCs w:val="21"/>
              </w:rPr>
              <w:br/>
              <w:t>2、具有高级教练职称，年龄在50周岁以下，近五年亲自培养运动员在全国最高水平比赛取得个人项目前三名或集体项目前八名、世界三大比赛（奥运会、世锦赛、世界杯）前八名；或具有中级教练职称，年龄在45周岁以下，近五年亲自培养运动员取得全运会、亚运会冠军、世界三大比赛（奥运会、世锦赛、世界杯）前六名</w:t>
            </w:r>
          </w:p>
        </w:tc>
      </w:tr>
      <w:tr w:rsidR="00D806AD" w:rsidRPr="00D806AD" w:rsidTr="00D806AD">
        <w:trPr>
          <w:cantSplit/>
          <w:trHeight w:val="2952"/>
          <w:jc w:val="center"/>
        </w:trPr>
        <w:tc>
          <w:tcPr>
            <w:tcW w:w="81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医疗</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卫生</w:t>
            </w:r>
          </w:p>
        </w:tc>
        <w:tc>
          <w:tcPr>
            <w:tcW w:w="1085"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医疗医技</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临床、医技、护理、医药、临床辅助</w:t>
            </w:r>
          </w:p>
        </w:tc>
        <w:tc>
          <w:tcPr>
            <w:tcW w:w="2519"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基础医学、临床医学、麻醉学、医学影像学、眼科学、耳鼻咽喉科学、精神医学、放射医学、口腔医学、公共卫生与预防医学、卫生监督、中医学、针灸推拿学、中西医结</w:t>
            </w:r>
            <w:r w:rsidRPr="00D806AD">
              <w:rPr>
                <w:rFonts w:ascii="仿宋_GB2312" w:eastAsia="仿宋_GB2312" w:hAnsi="宋体" w:cs="宋体" w:hint="eastAsia"/>
                <w:color w:val="666666"/>
                <w:kern w:val="0"/>
                <w:szCs w:val="21"/>
              </w:rPr>
              <w:lastRenderedPageBreak/>
              <w:t>合、中西医临床医学、药学、药物制剂、临床</w:t>
            </w:r>
          </w:p>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药学、药物分析、药物化学、生药学、药理学、中药学、中药制药、内科学、外科学、儿科学、老年医学、皮肤病与性病学、护理学、妇产科学、肿瘤学、康复医学、运动医学、急诊医学、医学技术、生物科学、心理学、医学营养、物理化学、生理学、卫生检验与检疫、化学生物学、分子科学与工程、生物技术、生物工程、生物医学工程、卫生信息管理、公共卫生管理、卫生事业管理、康复治疗学、遗传学、全科医学</w:t>
            </w:r>
          </w:p>
        </w:tc>
        <w:tc>
          <w:tcPr>
            <w:tcW w:w="1703" w:type="dxa"/>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6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1、具有博士学位、年龄40周岁以下，或硕士学位、副高以上职称、年龄45周岁以下，或正高职称、年龄50周岁以下；</w:t>
            </w:r>
            <w:r w:rsidRPr="00D806AD">
              <w:rPr>
                <w:rFonts w:ascii="仿宋_GB2312" w:eastAsia="仿宋_GB2312" w:hAnsi="宋体" w:cs="宋体" w:hint="eastAsia"/>
                <w:color w:val="666666"/>
                <w:kern w:val="0"/>
                <w:szCs w:val="21"/>
              </w:rPr>
              <w:br/>
              <w:t>2、有较高的专业技术水平和丰富的临床经验</w:t>
            </w:r>
          </w:p>
        </w:tc>
      </w:tr>
      <w:tr w:rsidR="00D806AD" w:rsidRPr="00D806AD" w:rsidTr="00D806AD">
        <w:trPr>
          <w:cantSplit/>
          <w:trHeight w:val="4891"/>
          <w:jc w:val="center"/>
        </w:trPr>
        <w:tc>
          <w:tcPr>
            <w:tcW w:w="811"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85"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临床输血、会诊医师、血站业务或质量管理</w:t>
            </w:r>
          </w:p>
        </w:tc>
        <w:tc>
          <w:tcPr>
            <w:tcW w:w="2519"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703"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32"/>
          <w:jc w:val="center"/>
        </w:trPr>
        <w:tc>
          <w:tcPr>
            <w:tcW w:w="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科研</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教育</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教学、科研</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高等院校教师</w:t>
            </w:r>
          </w:p>
        </w:tc>
        <w:tc>
          <w:tcPr>
            <w:tcW w:w="251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60" w:lineRule="exact"/>
              <w:jc w:val="center"/>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哲学、经济学、法学、政治学、社会学、民族学、马克思主义理论、教育学、心理学、体育学、中国语言文学、外国语言文学、新闻传播学、历史学、数学、物理学、化学、天文学、地理学、大气科学、海洋科学、地球物理学、地质学、生物学、系统科学、科学技术史、生态学、统计学、力学、机械工程、光学工程、仪器科学与技术、材料科学与工程、冶金工程、动力工程及工程热物理、电气工程、电子科学与技术、信息与通信工程、控制科学与工程、计算机科学与技术、建筑学、土木工程、水利工程、测绘科学与技术、化学工程与技术、地质资源与地质工程、矿业工程、石油与天然气工程、纺织科学与工程、航空宇航科学与工程、轻工技术与工程、交通运输工程、船舶与海洋工程、兵器科学与技术、核科学与技术、农业工程、林业工程、环境科学与工程、生物医学工程、食品科学与工程、城乡规划学、风景园林学、软件工程、生物工程、安全科学与工程、作物学、园艺学、农业资源与环境、植物保护、畜牧学、兽医学、林学、水产、草学、基础医学、临床医学、口腔医学、公共卫生与预防医学、中医学、中西医结合、药学、中药学、医学技术、护理学、军事学、管理科学与工程、工商管理、农林经济管理、公共管理、图书情报与档案管理、物流管理与工程、工业工程、电子商务、旅游管理、艺术学、音乐与舞蹈学、戏剧与影视学、美术学、设计学、康复治疗学</w:t>
            </w:r>
          </w:p>
        </w:tc>
        <w:tc>
          <w:tcPr>
            <w:tcW w:w="17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1、具有正高职称、年龄在50周岁以下；具有博士学位、年龄在45周岁以下；具有副高职称、硕士学位、年龄在</w:t>
            </w:r>
            <w:proofErr w:type="gramStart"/>
            <w:r w:rsidRPr="00D806AD">
              <w:rPr>
                <w:rFonts w:ascii="仿宋_GB2312" w:eastAsia="仿宋_GB2312" w:hAnsi="宋体" w:cs="宋体" w:hint="eastAsia"/>
                <w:color w:val="666666"/>
                <w:kern w:val="0"/>
                <w:szCs w:val="21"/>
              </w:rPr>
              <w:t>40周岁以下</w:t>
            </w:r>
            <w:proofErr w:type="gramEnd"/>
            <w:r w:rsidRPr="00D806AD">
              <w:rPr>
                <w:rFonts w:ascii="仿宋_GB2312" w:eastAsia="仿宋_GB2312" w:hAnsi="宋体" w:cs="宋体" w:hint="eastAsia"/>
                <w:color w:val="666666"/>
                <w:kern w:val="0"/>
                <w:szCs w:val="21"/>
              </w:rPr>
              <w:br/>
              <w:t>2、有较高的专业技术水平</w:t>
            </w:r>
          </w:p>
        </w:tc>
      </w:tr>
    </w:tbl>
    <w:p w:rsidR="00D806AD" w:rsidRPr="00D806AD" w:rsidRDefault="00D806AD" w:rsidP="00D806AD">
      <w:pPr>
        <w:widowControl/>
        <w:ind w:left="225"/>
        <w:jc w:val="left"/>
        <w:rPr>
          <w:rFonts w:ascii="Arial" w:eastAsia="宋体" w:hAnsi="Arial" w:cs="Arial"/>
          <w:vanish/>
          <w:color w:val="000000"/>
          <w:kern w:val="0"/>
          <w:szCs w:val="21"/>
        </w:rPr>
      </w:pPr>
    </w:p>
    <w:tbl>
      <w:tblPr>
        <w:tblW w:w="8458" w:type="dxa"/>
        <w:jc w:val="center"/>
        <w:tblLayout w:type="fixed"/>
        <w:tblCellMar>
          <w:left w:w="57" w:type="dxa"/>
          <w:right w:w="57" w:type="dxa"/>
        </w:tblCellMar>
        <w:tblLook w:val="04A0" w:firstRow="1" w:lastRow="0" w:firstColumn="1" w:lastColumn="0" w:noHBand="0" w:noVBand="1"/>
      </w:tblPr>
      <w:tblGrid>
        <w:gridCol w:w="811"/>
        <w:gridCol w:w="1085"/>
        <w:gridCol w:w="2340"/>
        <w:gridCol w:w="2519"/>
        <w:gridCol w:w="1703"/>
      </w:tblGrid>
      <w:tr w:rsidR="00D806AD" w:rsidRPr="00D806AD" w:rsidTr="00D806AD">
        <w:trPr>
          <w:cantSplit/>
          <w:trHeight w:val="2430"/>
          <w:jc w:val="center"/>
        </w:trPr>
        <w:tc>
          <w:tcPr>
            <w:tcW w:w="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科研</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教育</w:t>
            </w:r>
          </w:p>
        </w:tc>
        <w:tc>
          <w:tcPr>
            <w:tcW w:w="108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教学、科研</w:t>
            </w:r>
          </w:p>
        </w:tc>
        <w:tc>
          <w:tcPr>
            <w:tcW w:w="23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高职、中职院校教师</w:t>
            </w:r>
          </w:p>
        </w:tc>
        <w:tc>
          <w:tcPr>
            <w:tcW w:w="251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4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经济学、财政学、金融学、经济与贸易、法学、教育学、体育学、中国语言文学、外国语言文学、新闻传播学、物理学、化学、地理学、海洋科学、生物学、系统科学、生态学、力学、机械工程、光学工程、仪器科学与技术、材料科学与工程、冶金工程、动力工程及工程热物理、电气工程、电子科学与技术、信息与通信工程、控制科学与工程、自动化、计算机科学与技术、建筑学、土木工程、水利工程、测绘科学与技术、化学工程与技术、地质资源与地质工程、纺织科学与工程、轻工技术与工程、交通运输工程、船舶与海洋工程、航空宇航科学与技术、农业工程、林业工程、环境科学与工程、生物医学工程、食品科学与工程、城乡规划学、风景园林学、软件工程、生物工程、安全科学与工程、作物学、园艺学、农业资源与环境、植物保护、畜牧学、兽医学、林学、水产、基础医学、临床医学、口腔医学、公共卫生与预防医学、中医学、中西医结合、药学、中药学、医学技术、法医学、护理学、管理科学与工程、工商管理、农林经济管理、公共管理、图书情报与档案管理、物流管理与工程、工业工程、电子商务、旅游管理、音乐与舞蹈学、戏剧与影视学、美术学、设计学、嵌入式开发、车辆工程、工程造价、工程管理、智能科学与技术、</w:t>
            </w:r>
            <w:proofErr w:type="gramStart"/>
            <w:r w:rsidRPr="00D806AD">
              <w:rPr>
                <w:rFonts w:ascii="仿宋_GB2312" w:eastAsia="仿宋_GB2312" w:hAnsi="宋体" w:cs="宋体" w:hint="eastAsia"/>
                <w:color w:val="666666"/>
                <w:kern w:val="0"/>
                <w:szCs w:val="21"/>
              </w:rPr>
              <w:t>动漫设计</w:t>
            </w:r>
            <w:proofErr w:type="gramEnd"/>
            <w:r w:rsidRPr="00D806AD">
              <w:rPr>
                <w:rFonts w:ascii="仿宋_GB2312" w:eastAsia="仿宋_GB2312" w:hAnsi="宋体" w:cs="宋体" w:hint="eastAsia"/>
                <w:color w:val="666666"/>
                <w:kern w:val="0"/>
                <w:szCs w:val="21"/>
              </w:rPr>
              <w:t>与制作</w:t>
            </w:r>
          </w:p>
        </w:tc>
        <w:tc>
          <w:tcPr>
            <w:tcW w:w="17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1、具有正高职称、年龄在50周岁以下；具有副高职称或博士学位、年龄在45周岁以下；具有硕士学位、年龄在40周岁以下；</w:t>
            </w:r>
            <w:r w:rsidRPr="00D806AD">
              <w:rPr>
                <w:rFonts w:ascii="仿宋_GB2312" w:eastAsia="仿宋_GB2312" w:hAnsi="宋体" w:cs="宋体" w:hint="eastAsia"/>
                <w:color w:val="666666"/>
                <w:kern w:val="0"/>
                <w:szCs w:val="21"/>
              </w:rPr>
              <w:br/>
              <w:t>2、有较高的专业技术水平</w:t>
            </w:r>
          </w:p>
        </w:tc>
      </w:tr>
    </w:tbl>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宋体" w:eastAsia="宋体" w:hAnsi="宋体" w:cs="宋体"/>
          <w:color w:val="000000"/>
          <w:kern w:val="0"/>
          <w:sz w:val="24"/>
          <w:szCs w:val="24"/>
        </w:rPr>
        <w:t> </w:t>
      </w:r>
    </w:p>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宋体" w:eastAsia="宋体" w:hAnsi="宋体" w:cs="宋体"/>
          <w:color w:val="000000"/>
          <w:kern w:val="0"/>
          <w:sz w:val="24"/>
          <w:szCs w:val="24"/>
        </w:rPr>
        <w:t> </w:t>
      </w:r>
    </w:p>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宋体" w:eastAsia="宋体" w:hAnsi="宋体" w:cs="宋体"/>
          <w:color w:val="000000"/>
          <w:kern w:val="0"/>
          <w:sz w:val="24"/>
          <w:szCs w:val="24"/>
        </w:rPr>
        <w:lastRenderedPageBreak/>
        <w:t> </w:t>
      </w:r>
    </w:p>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宋体" w:eastAsia="宋体" w:hAnsi="宋体" w:cs="宋体"/>
          <w:color w:val="000000"/>
          <w:kern w:val="0"/>
          <w:sz w:val="24"/>
          <w:szCs w:val="24"/>
        </w:rPr>
        <w:t> </w:t>
      </w:r>
    </w:p>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黑体" w:eastAsia="黑体" w:hAnsi="黑体" w:cs="宋体" w:hint="eastAsia"/>
          <w:color w:val="000000"/>
          <w:sz w:val="40"/>
          <w:szCs w:val="40"/>
        </w:rPr>
        <w:t>省级扶贫开发工作重点县</w:t>
      </w:r>
      <w:r w:rsidRPr="00D806AD">
        <w:rPr>
          <w:rFonts w:ascii="黑体" w:eastAsia="黑体" w:hAnsi="黑体" w:cs="宋体" w:hint="eastAsia"/>
          <w:b/>
          <w:bCs/>
          <w:color w:val="000000"/>
          <w:sz w:val="40"/>
          <w:szCs w:val="40"/>
        </w:rPr>
        <w:t>（</w:t>
      </w:r>
      <w:r w:rsidRPr="00D806AD">
        <w:rPr>
          <w:rFonts w:ascii="仿宋_GB2312" w:eastAsia="仿宋_GB2312" w:hAnsi="宋体" w:cs="宋体" w:hint="eastAsia"/>
          <w:b/>
          <w:bCs/>
          <w:color w:val="000000"/>
          <w:sz w:val="32"/>
          <w:szCs w:val="32"/>
        </w:rPr>
        <w:t>云霄县、平和县、诏安县）</w:t>
      </w:r>
    </w:p>
    <w:p w:rsidR="00D806AD" w:rsidRPr="00D806AD" w:rsidRDefault="00D806AD" w:rsidP="00D806AD">
      <w:pPr>
        <w:widowControl/>
        <w:spacing w:before="100" w:beforeAutospacing="1" w:after="100" w:afterAutospacing="1" w:line="590" w:lineRule="exact"/>
        <w:ind w:left="225"/>
        <w:jc w:val="center"/>
        <w:rPr>
          <w:rFonts w:ascii="宋体" w:eastAsia="宋体" w:hAnsi="宋体" w:cs="宋体"/>
          <w:color w:val="000000"/>
          <w:kern w:val="0"/>
          <w:sz w:val="24"/>
          <w:szCs w:val="24"/>
        </w:rPr>
      </w:pPr>
      <w:r w:rsidRPr="00D806AD">
        <w:rPr>
          <w:rFonts w:ascii="黑体" w:eastAsia="黑体" w:hAnsi="黑体" w:cs="宋体" w:hint="eastAsia"/>
          <w:color w:val="000000"/>
          <w:sz w:val="40"/>
          <w:szCs w:val="40"/>
        </w:rPr>
        <w:t>2016年度紧缺急需人才引进指导目录</w:t>
      </w:r>
    </w:p>
    <w:tbl>
      <w:tblPr>
        <w:tblW w:w="8865" w:type="dxa"/>
        <w:jc w:val="center"/>
        <w:tblLayout w:type="fixed"/>
        <w:tblCellMar>
          <w:left w:w="57" w:type="dxa"/>
          <w:right w:w="57" w:type="dxa"/>
        </w:tblCellMar>
        <w:tblLook w:val="04A0" w:firstRow="1" w:lastRow="0" w:firstColumn="1" w:lastColumn="0" w:noHBand="0" w:noVBand="1"/>
      </w:tblPr>
      <w:tblGrid>
        <w:gridCol w:w="998"/>
        <w:gridCol w:w="1036"/>
        <w:gridCol w:w="2212"/>
        <w:gridCol w:w="2617"/>
        <w:gridCol w:w="2002"/>
      </w:tblGrid>
      <w:tr w:rsidR="00D806AD" w:rsidRPr="00D806AD" w:rsidTr="00D806AD">
        <w:trPr>
          <w:trHeight w:val="480"/>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产业或</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行业</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主要涉及领域</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主要涉及岗位</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专业要求</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条件要求</w:t>
            </w:r>
          </w:p>
        </w:tc>
      </w:tr>
      <w:tr w:rsidR="00D806AD" w:rsidRPr="00D806AD" w:rsidTr="00D806AD">
        <w:trPr>
          <w:cantSplit/>
          <w:trHeight w:val="1809"/>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机械</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制造</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机械工程及检测技术</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机械设计、制造与控制</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机械工程、机械设计制造及其自动化、电气工程、机械电子工程、控制科学与工程、仪器科学与技术、测控技术与仪器、材料科学与工程、金属材料工程、焊接技术与工程、动力工程及工程热物理、生物医学工程、光电信息科学与工程、电子信息工程、工程力学、工业工程、工业设计、机械工艺技术、化学工程与技术</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1、具有学士以上学位或中级以上职称，年龄在35周岁以下；具有博士学位或副高以上职称，年龄在45周岁以下；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1736"/>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检测应用</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20"/>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生物</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医药</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医药制造与研发</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化学制药</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生物学、生物技术、生物工程、生物医学工程、化学工程与技术、生物制药、制药</w:t>
            </w:r>
          </w:p>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工程、</w:t>
            </w:r>
            <w:r w:rsidRPr="00D806AD">
              <w:rPr>
                <w:rFonts w:ascii="仿宋_GB2312" w:eastAsia="仿宋_GB2312" w:hAnsi="宋体" w:cs="宋体" w:hint="eastAsia"/>
                <w:color w:val="666666"/>
                <w:szCs w:val="21"/>
              </w:rPr>
              <w:t>发酵工程</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72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生物制药</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91"/>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药物研究</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282"/>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微生物制剂研究</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50"/>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现代</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农业</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p w:rsidR="00D806AD" w:rsidRPr="00D806AD" w:rsidRDefault="00D806AD" w:rsidP="00D806AD">
            <w:pPr>
              <w:widowControl/>
              <w:spacing w:before="100" w:beforeAutospacing="1" w:after="100" w:afterAutospacing="1" w:line="280" w:lineRule="exac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 </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农林产品加工</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农林产品加工</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食品科学与工程、农产品储运与加工、木材加工、食品质量与安全、食品营养与检测</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1、具有学士以上学位或中级以上职称，年龄在35周岁以下；具有博士学位或副高以上职称，年龄在45周岁以下；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39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农业资源开发</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蔬菜、花果培植</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物工程、食品科学与工程、兽医学、生物学、包装工程、农业工程、农业资源与环境、作物学、园艺学、植物科学与技术、畜牧学、水产、生态学、农学、茶学、农林经济管理、市场营销、农业机械化及其自动化、草学、生物技术、植物科学与技术、种子科学与工程、化学工程与技术、农业水利工程、植物保护、动植物检疫、农村区域发展、地理信息系统、食品质量与安全</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36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种苗培育</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园艺栽培</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9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新产品开发</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2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农业科研</w:t>
            </w: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植物分类、引种驯化</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分子生物学技术研究</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2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遗传育种研究、畜牧兽医</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农产品安全</w:t>
            </w: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植物保护</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检验检疫、安全检测</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37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农业机械</w:t>
            </w: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农机推广、监管</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0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仪器分析、维修</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80"/>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水土保持与生态林业</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水土保持、林业保护</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生态保护研发、管理</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林学、生态学、水土保持与荒漠化防治、森林保护、森林工程、林木生产、野生动物与自然保护区管理、园艺学、木材科学与工程、生物制药、建</w:t>
            </w:r>
            <w:r w:rsidRPr="00D806AD">
              <w:rPr>
                <w:rFonts w:ascii="仿宋_GB2312" w:eastAsia="仿宋_GB2312" w:hAnsi="宋体" w:cs="宋体" w:hint="eastAsia"/>
                <w:color w:val="666666"/>
                <w:kern w:val="0"/>
                <w:szCs w:val="21"/>
              </w:rPr>
              <w:lastRenderedPageBreak/>
              <w:t>筑工程、城乡规划、园林、森林生态旅游、农业资源与环境、林业经济管理、林木遗传育种、林产化工</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1、具有硕士学位或学士学位、中级职称，年龄在35周岁以下；具有博士学位或副高以上职称，年龄在45周岁</w:t>
            </w:r>
            <w:r w:rsidRPr="00D806AD">
              <w:rPr>
                <w:rFonts w:ascii="仿宋_GB2312" w:eastAsia="仿宋_GB2312" w:hAnsi="宋体" w:cs="宋体" w:hint="eastAsia"/>
                <w:color w:val="666666"/>
                <w:kern w:val="0"/>
                <w:szCs w:val="21"/>
              </w:rPr>
              <w:lastRenderedPageBreak/>
              <w:t>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52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林产品开发</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林产品设计、检验</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2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林下经济</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8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木材检测</w:t>
            </w: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树木与木材鉴定</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106"/>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水利</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水电</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水利水电技术</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水电工程、管理</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水电工程、水文与水资源工程、道路桥梁与渡河工程、建筑工程、电气工程、机械电子工程、动力工程及工程热物理、水务工程、土木工程、给排水科学与工程、农业水利工程、流体机械及工程、发电厂及电力系统、自动化、信息与通信工程、材料科学与工程、工程造价、工程管理、安全工程</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1106"/>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水文、水资源管理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107"/>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水利保护</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8"/>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环境</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保护</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环境科研、监测</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环境工程</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环境科学与工程、环境化学、环境生态工程、环境监测、环境保护、大气科学、化学工程与技术</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549"/>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环境管理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9"/>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环境监察</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9"/>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污染治理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140"/>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海洋</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渔业</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水产品加工</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水产品加工</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水产品加工及贮藏、食品科学与工程、食品质量与安全、食品营养与检测</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1、具有学士以上学位或中级以上职称，年龄在35周岁以下；具有博士学位或副高以上职称，年龄在45周岁以下；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48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渔业资源开发</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水产养殖</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海洋渔业科学与技术、水产养殖学、水族科学与技术、海洋生物学、生态学、食品营养与检测、分析化学、海洋科学、海洋技术、船舶与海洋工程、海洋资源与环境、海洋工程与技术、海洋资源开发</w:t>
            </w:r>
            <w:r w:rsidRPr="00D806AD">
              <w:rPr>
                <w:rFonts w:ascii="仿宋_GB2312" w:eastAsia="仿宋_GB2312" w:hAnsi="宋体" w:cs="宋体" w:hint="eastAsia"/>
                <w:color w:val="666666"/>
                <w:kern w:val="0"/>
                <w:szCs w:val="21"/>
              </w:rPr>
              <w:lastRenderedPageBreak/>
              <w:t>技术、港口航道与海岸工程、海洋经济学、海事管理、勘查技术与工程、轮机工程、应用气象学、地理信息科学、农林经济管理</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r>
            <w:r w:rsidRPr="00D806AD">
              <w:rPr>
                <w:rFonts w:ascii="仿宋_GB2312" w:eastAsia="仿宋_GB2312" w:hAnsi="宋体" w:cs="宋体" w:hint="eastAsia"/>
                <w:color w:val="666666"/>
                <w:kern w:val="0"/>
                <w:szCs w:val="21"/>
              </w:rPr>
              <w:lastRenderedPageBreak/>
              <w:t>2、有较高的专业技术水平</w:t>
            </w:r>
          </w:p>
        </w:tc>
      </w:tr>
      <w:tr w:rsidR="00D806AD" w:rsidRPr="00D806AD" w:rsidTr="00D806AD">
        <w:trPr>
          <w:cantSplit/>
          <w:trHeight w:val="465"/>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水产品病害防治</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822"/>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海洋综合管理</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海洋工程</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921"/>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海洋生物医药</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8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海洋经济研究</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64"/>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交通</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运输</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交通运输、公路桥梁、港航工程</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交通建设、营运</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交通运输工程、汽车维修工程、机械维修及检测技术、道路桥梁与渡河工程、土木工程、通信工程、自动化、机械电子工程、安全工程、管理科学与工程、机械工程、电气工程、港口航道与海岸工程、航海技术、水利水电工程、水文与水资源工程、给排水科学与工程、工程管理、物流管理、物流工程、物联网工程</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656"/>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公路养护</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07"/>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港航工程</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98"/>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项目管理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18"/>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物流管理</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商贸流通</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89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物流策划、物流网络建设</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02"/>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城乡</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建设</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城乡规划与建设</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城乡规划</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建筑学、土木工程、材料科学与工程、动力工程及工程热物理、水利水电工程、给排水科学与工程、风景园林学、建筑环境与能源应用工程、工程管理、道路桥梁与渡河工程、工程造价、城乡规划学、港口航道与海岸工程、环境科学与工程、园艺学、交通运输工程、人文地理学、地理信息科学、测绘工程与技术、草业科学、石油与天然气工程、水文与水资源工程、土地资源管理、国土资源管理、环境规划与管理、建筑工程</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502"/>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规划测量</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1004"/>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工程造价</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79"/>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项目监理、施工</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479"/>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房地产交易及管理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903"/>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给排水</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904"/>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园林绿化</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25"/>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文化</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事业</w:t>
            </w:r>
          </w:p>
        </w:tc>
        <w:tc>
          <w:tcPr>
            <w:tcW w:w="1036" w:type="dxa"/>
            <w:vMerge w:val="restart"/>
            <w:tcBorders>
              <w:top w:val="nil"/>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文化事业与产业</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新闻采、编、播</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新闻传播学、表演、播音与主持、编剧、导演、广告学、文化创意、文化产业管理、计算机科学与技</w:t>
            </w:r>
            <w:r w:rsidRPr="00D806AD">
              <w:rPr>
                <w:rFonts w:ascii="仿宋_GB2312" w:eastAsia="仿宋_GB2312" w:hAnsi="宋体" w:cs="宋体" w:hint="eastAsia"/>
                <w:color w:val="666666"/>
                <w:kern w:val="0"/>
                <w:szCs w:val="21"/>
              </w:rPr>
              <w:lastRenderedPageBreak/>
              <w:t>术、图书馆学、文物与博物馆学、文物保护技术</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6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lastRenderedPageBreak/>
              <w:t>1、具有硕士学位或学士学位、中级职称，年龄在35周岁以下；具有博士学位或副高以上职称，年龄在45周岁</w:t>
            </w:r>
            <w:r w:rsidRPr="00D806AD">
              <w:rPr>
                <w:rFonts w:ascii="仿宋_GB2312" w:eastAsia="仿宋_GB2312" w:hAnsi="宋体" w:cs="宋体" w:hint="eastAsia"/>
                <w:color w:val="666666"/>
                <w:kern w:val="0"/>
                <w:szCs w:val="21"/>
              </w:rPr>
              <w:lastRenderedPageBreak/>
              <w:t>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48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shd w:val="clear" w:color="auto" w:fill="FFFFFF"/>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编导</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54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文化事业管理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623"/>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文化保护与开发</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20"/>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旅游</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管理</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旅游开发管理</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旅游产业规划</w:t>
            </w:r>
          </w:p>
        </w:tc>
        <w:tc>
          <w:tcPr>
            <w:tcW w:w="2617"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旅游管理、景区开发与管理、旅游服务与管理、地质学、电子信息工程、电子科学与技术、信息与通信工程、计算机科学与技术、市场营销</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72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景区开发管理</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cantSplit/>
          <w:trHeight w:val="720"/>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旅游开发、文化服务</w:t>
            </w:r>
          </w:p>
        </w:tc>
        <w:tc>
          <w:tcPr>
            <w:tcW w:w="2617"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r w:rsidR="00D806AD" w:rsidRPr="00D806AD" w:rsidTr="00D806AD">
        <w:trPr>
          <w:trHeight w:val="1095"/>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经济</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贸易</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园区贸易</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园区规划、管理</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工业工程、工业设计、工业环保与安全技术、电气工程、国际经济与贸易、贸易经济、物流管理</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trHeight w:val="1095"/>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电子</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工程</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光电产业及新材料产业</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设计、研发与应用</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电子信息工程、电子科学与技术、微电子科学与工程、光电信息科学与工程、集成电路设计与集成系统、电气工程、电磁场与无线技术</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trHeight w:val="61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医疗</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卫生</w:t>
            </w:r>
          </w:p>
        </w:tc>
        <w:tc>
          <w:tcPr>
            <w:tcW w:w="1036"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医疗医技</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临床、医技、</w:t>
            </w:r>
            <w:proofErr w:type="gramStart"/>
            <w:r w:rsidRPr="00D806AD">
              <w:rPr>
                <w:rFonts w:ascii="仿宋_GB2312" w:eastAsia="仿宋_GB2312" w:hAnsi="宋体" w:cs="宋体" w:hint="eastAsia"/>
                <w:color w:val="666666"/>
                <w:kern w:val="0"/>
                <w:szCs w:val="21"/>
              </w:rPr>
              <w:t>疾控预防医学</w:t>
            </w:r>
            <w:proofErr w:type="gramEnd"/>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基础医学、临床医学、麻醉学、医学影像学、眼科学、精神医学、放射医学、口腔医学、公共卫生与预防医学、妇幼保健医学、药学、临床药学、内科学、儿科学、皮肤病与性病学、护理学、妇产科学、外科学、肿瘤学、急诊医学、重症医学、全科医学、疼痛医学、医学检验技术、医学实验技术、卫生检验与检疫、中医学、中西医结合、康复医学</w:t>
            </w:r>
          </w:p>
        </w:tc>
        <w:tc>
          <w:tcPr>
            <w:tcW w:w="200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1、具有学士以上学位或中级以上职称，年龄在35周岁以下；具有博士学位或副高以上职称，年龄在45周岁以下；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192"/>
          <w:jc w:val="center"/>
        </w:trPr>
        <w:tc>
          <w:tcPr>
            <w:tcW w:w="998" w:type="dxa"/>
            <w:vMerge w:val="restart"/>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lastRenderedPageBreak/>
              <w:t>科研</w:t>
            </w:r>
          </w:p>
          <w:p w:rsidR="00D806AD" w:rsidRPr="00D806AD" w:rsidRDefault="00D806AD" w:rsidP="00D806AD">
            <w:pPr>
              <w:widowControl/>
              <w:spacing w:before="100" w:beforeAutospacing="1" w:after="100" w:afterAutospacing="1" w:line="280" w:lineRule="atLeast"/>
              <w:jc w:val="center"/>
              <w:rPr>
                <w:rFonts w:ascii="宋体" w:eastAsia="宋体" w:hAnsi="宋体" w:cs="宋体"/>
                <w:color w:val="666666"/>
                <w:kern w:val="0"/>
                <w:sz w:val="24"/>
                <w:szCs w:val="24"/>
              </w:rPr>
            </w:pPr>
            <w:r w:rsidRPr="00D806AD">
              <w:rPr>
                <w:rFonts w:ascii="仿宋_GB2312" w:eastAsia="仿宋_GB2312" w:hAnsi="宋体" w:cs="宋体" w:hint="eastAsia"/>
                <w:b/>
                <w:bCs/>
                <w:color w:val="666666"/>
                <w:kern w:val="0"/>
                <w:szCs w:val="21"/>
              </w:rPr>
              <w:t>教育</w:t>
            </w:r>
          </w:p>
        </w:tc>
        <w:tc>
          <w:tcPr>
            <w:tcW w:w="1036"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教学、科研</w:t>
            </w: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中学教师</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300" w:lineRule="exac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地理教育、化学教育、英语教育、政治教育、历史教育、生物教育、物理教育、体育教育、计算机教育、语文教育、数学教育、音乐教育、舞蹈教育、心理学、现代信息技术</w:t>
            </w:r>
          </w:p>
        </w:tc>
        <w:tc>
          <w:tcPr>
            <w:tcW w:w="2002" w:type="dxa"/>
            <w:vMerge w:val="restart"/>
            <w:tcBorders>
              <w:top w:val="nil"/>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1、具有硕士学位或学士学位、中级职称，年龄在35周岁以下；具有博士学位或副高以上职称，年龄在45周岁以下；</w:t>
            </w:r>
            <w:r w:rsidRPr="00D806AD">
              <w:rPr>
                <w:rFonts w:ascii="仿宋_GB2312" w:eastAsia="仿宋_GB2312" w:hAnsi="宋体" w:cs="宋体" w:hint="eastAsia"/>
                <w:color w:val="666666"/>
                <w:kern w:val="0"/>
                <w:szCs w:val="21"/>
              </w:rPr>
              <w:br/>
              <w:t>2、有较高的专业技术水平</w:t>
            </w:r>
          </w:p>
        </w:tc>
      </w:tr>
      <w:tr w:rsidR="00D806AD" w:rsidRPr="00D806AD" w:rsidTr="00D806AD">
        <w:trPr>
          <w:cantSplit/>
          <w:trHeight w:val="9406"/>
          <w:jc w:val="center"/>
        </w:trPr>
        <w:tc>
          <w:tcPr>
            <w:tcW w:w="998" w:type="dxa"/>
            <w:vMerge/>
            <w:tcBorders>
              <w:top w:val="nil"/>
              <w:left w:val="single" w:sz="4" w:space="0" w:color="auto"/>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1036"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c>
          <w:tcPr>
            <w:tcW w:w="2212"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中职院校教师</w:t>
            </w:r>
          </w:p>
        </w:tc>
        <w:tc>
          <w:tcPr>
            <w:tcW w:w="2617" w:type="dxa"/>
            <w:tcBorders>
              <w:top w:val="single" w:sz="4" w:space="0" w:color="auto"/>
              <w:left w:val="nil"/>
              <w:bottom w:val="single" w:sz="4" w:space="0" w:color="auto"/>
              <w:right w:val="single" w:sz="4" w:space="0" w:color="auto"/>
            </w:tcBorders>
            <w:vAlign w:val="center"/>
            <w:hideMark/>
          </w:tcPr>
          <w:p w:rsidR="00D806AD" w:rsidRPr="00D806AD" w:rsidRDefault="00D806AD" w:rsidP="00D806AD">
            <w:pPr>
              <w:widowControl/>
              <w:spacing w:before="100" w:beforeAutospacing="1" w:after="100" w:afterAutospacing="1" w:line="280" w:lineRule="atLeast"/>
              <w:jc w:val="left"/>
              <w:rPr>
                <w:rFonts w:ascii="宋体" w:eastAsia="宋体" w:hAnsi="宋体" w:cs="宋体"/>
                <w:color w:val="666666"/>
                <w:kern w:val="0"/>
                <w:sz w:val="24"/>
                <w:szCs w:val="24"/>
              </w:rPr>
            </w:pPr>
            <w:r w:rsidRPr="00D806AD">
              <w:rPr>
                <w:rFonts w:ascii="仿宋_GB2312" w:eastAsia="仿宋_GB2312" w:hAnsi="宋体" w:cs="宋体" w:hint="eastAsia"/>
                <w:color w:val="666666"/>
                <w:kern w:val="0"/>
                <w:szCs w:val="21"/>
              </w:rPr>
              <w:t>海洋科学、系统科学、生态学、力学、机械工程、光学工程、仪器科学与技术、材料科学与工程、冶金工程、动力工程及工程热物理、电气工程、电子科学与技术、信息与通信工程、控制科学与工程、建筑学、土木工程、水利工程、测绘科学与技术、化学工程与技术、地质资源与地质工程、纺织科学与工程、轻工技术与工程、交通运输工程、船舶与海洋工程、农业工程、林业工程、环境科学与工程、生物医学工程、食品科学与工程、城乡规划学、风景园林学、软件工程、生物工程、安全科学与工程、作物学、园艺学、农业资源与环境、植物保护、畜牧学、兽医学、 林学、水产、基础医学、临床医学、口腔医学、公共卫生与预防医学、中医学、中西医结合、药学、中药学、医学技术、护理学、农林经济管理、物流管理与工程、工业工程、艺术学、工程造价、工程管理、计算机科学与技术、康复医学、心理学、特殊教育</w:t>
            </w:r>
          </w:p>
        </w:tc>
        <w:tc>
          <w:tcPr>
            <w:tcW w:w="2002" w:type="dxa"/>
            <w:vMerge/>
            <w:tcBorders>
              <w:top w:val="nil"/>
              <w:left w:val="nil"/>
              <w:bottom w:val="single" w:sz="4" w:space="0" w:color="auto"/>
              <w:right w:val="single" w:sz="4" w:space="0" w:color="auto"/>
            </w:tcBorders>
            <w:vAlign w:val="center"/>
            <w:hideMark/>
          </w:tcPr>
          <w:p w:rsidR="00D806AD" w:rsidRPr="00D806AD" w:rsidRDefault="00D806AD" w:rsidP="00D806AD">
            <w:pPr>
              <w:widowControl/>
              <w:jc w:val="center"/>
              <w:rPr>
                <w:rFonts w:ascii="宋体" w:eastAsia="宋体" w:hAnsi="宋体" w:cs="宋体"/>
                <w:color w:val="666666"/>
                <w:kern w:val="0"/>
                <w:sz w:val="24"/>
                <w:szCs w:val="24"/>
              </w:rPr>
            </w:pPr>
          </w:p>
        </w:tc>
      </w:tr>
    </w:tbl>
    <w:p w:rsidR="003740F8" w:rsidRDefault="003740F8">
      <w:pPr>
        <w:rPr>
          <w:rFonts w:hint="eastAsia"/>
        </w:rPr>
      </w:pPr>
      <w:bookmarkStart w:id="0" w:name="_GoBack"/>
      <w:bookmarkEnd w:id="0"/>
    </w:p>
    <w:sectPr w:rsidR="00374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AD"/>
    <w:rsid w:val="003740F8"/>
    <w:rsid w:val="00D8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A73F2-A57D-40A4-A2BD-403E09C3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806AD"/>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D806AD"/>
    <w:pPr>
      <w:widowControl/>
      <w:spacing w:before="100" w:beforeAutospacing="1" w:after="100" w:afterAutospacing="1" w:line="300" w:lineRule="atLeast"/>
      <w:jc w:val="left"/>
      <w:outlineLvl w:val="1"/>
    </w:pPr>
    <w:rPr>
      <w:rFonts w:ascii="宋体" w:eastAsia="宋体" w:hAnsi="宋体" w:cs="宋体"/>
      <w:kern w:val="0"/>
      <w:sz w:val="18"/>
      <w:szCs w:val="18"/>
    </w:rPr>
  </w:style>
  <w:style w:type="paragraph" w:styleId="3">
    <w:name w:val="heading 3"/>
    <w:basedOn w:val="a"/>
    <w:link w:val="3Char"/>
    <w:uiPriority w:val="9"/>
    <w:qFormat/>
    <w:rsid w:val="00D806AD"/>
    <w:pPr>
      <w:widowControl/>
      <w:spacing w:before="100" w:beforeAutospacing="1" w:after="100" w:afterAutospacing="1"/>
      <w:jc w:val="left"/>
      <w:outlineLvl w:val="2"/>
    </w:pPr>
    <w:rPr>
      <w:rFonts w:ascii="宋体" w:eastAsia="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6AD"/>
    <w:rPr>
      <w:rFonts w:ascii="宋体" w:eastAsia="宋体" w:hAnsi="宋体" w:cs="宋体"/>
      <w:kern w:val="36"/>
      <w:sz w:val="18"/>
      <w:szCs w:val="18"/>
    </w:rPr>
  </w:style>
  <w:style w:type="character" w:customStyle="1" w:styleId="2Char">
    <w:name w:val="标题 2 Char"/>
    <w:basedOn w:val="a0"/>
    <w:link w:val="2"/>
    <w:uiPriority w:val="9"/>
    <w:rsid w:val="00D806AD"/>
    <w:rPr>
      <w:rFonts w:ascii="宋体" w:eastAsia="宋体" w:hAnsi="宋体" w:cs="宋体"/>
      <w:kern w:val="0"/>
      <w:sz w:val="18"/>
      <w:szCs w:val="18"/>
    </w:rPr>
  </w:style>
  <w:style w:type="character" w:customStyle="1" w:styleId="3Char">
    <w:name w:val="标题 3 Char"/>
    <w:basedOn w:val="a0"/>
    <w:link w:val="3"/>
    <w:uiPriority w:val="9"/>
    <w:rsid w:val="00D806AD"/>
    <w:rPr>
      <w:rFonts w:ascii="宋体" w:eastAsia="宋体" w:hAnsi="宋体" w:cs="宋体"/>
      <w:kern w:val="0"/>
      <w:sz w:val="18"/>
      <w:szCs w:val="18"/>
    </w:rPr>
  </w:style>
  <w:style w:type="character" w:styleId="a3">
    <w:name w:val="Hyperlink"/>
    <w:basedOn w:val="a0"/>
    <w:uiPriority w:val="99"/>
    <w:semiHidden/>
    <w:unhideWhenUsed/>
    <w:rsid w:val="00D806AD"/>
    <w:rPr>
      <w:strike w:val="0"/>
      <w:dstrike w:val="0"/>
      <w:color w:val="666666"/>
      <w:u w:val="none"/>
      <w:effect w:val="none"/>
    </w:rPr>
  </w:style>
  <w:style w:type="character" w:styleId="a4">
    <w:name w:val="FollowedHyperlink"/>
    <w:basedOn w:val="a0"/>
    <w:uiPriority w:val="99"/>
    <w:semiHidden/>
    <w:unhideWhenUsed/>
    <w:rsid w:val="00D806AD"/>
    <w:rPr>
      <w:strike w:val="0"/>
      <w:dstrike w:val="0"/>
      <w:color w:val="666666"/>
      <w:u w:val="none"/>
      <w:effect w:val="none"/>
    </w:rPr>
  </w:style>
  <w:style w:type="paragraph" w:customStyle="1" w:styleId="font14">
    <w:name w:val="font_14"/>
    <w:basedOn w:val="a"/>
    <w:rsid w:val="00D806AD"/>
    <w:pPr>
      <w:widowControl/>
      <w:spacing w:before="100" w:beforeAutospacing="1" w:after="100" w:afterAutospacing="1"/>
      <w:jc w:val="left"/>
    </w:pPr>
    <w:rPr>
      <w:rFonts w:ascii="宋体" w:eastAsia="宋体" w:hAnsi="宋体" w:cs="宋体"/>
      <w:color w:val="000000"/>
      <w:kern w:val="0"/>
      <w:szCs w:val="21"/>
    </w:rPr>
  </w:style>
  <w:style w:type="paragraph" w:customStyle="1" w:styleId="website">
    <w:name w:val="website"/>
    <w:basedOn w:val="a"/>
    <w:rsid w:val="00D806AD"/>
    <w:pPr>
      <w:widowControl/>
      <w:spacing w:before="100" w:beforeAutospacing="1" w:after="100" w:afterAutospacing="1"/>
      <w:jc w:val="left"/>
    </w:pPr>
    <w:rPr>
      <w:rFonts w:ascii="宋体" w:eastAsia="宋体" w:hAnsi="宋体" w:cs="宋体"/>
      <w:kern w:val="0"/>
      <w:sz w:val="27"/>
      <w:szCs w:val="27"/>
    </w:rPr>
  </w:style>
  <w:style w:type="paragraph" w:customStyle="1" w:styleId="tongji">
    <w:name w:val="tongji"/>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searchcontent">
    <w:name w:val="search_content"/>
    <w:basedOn w:val="a"/>
    <w:rsid w:val="00D806AD"/>
    <w:pPr>
      <w:widowControl/>
      <w:shd w:val="clear" w:color="auto" w:fill="E9E9E9"/>
      <w:spacing w:before="100" w:beforeAutospacing="1" w:after="100" w:afterAutospacing="1" w:line="495" w:lineRule="atLeast"/>
      <w:jc w:val="left"/>
    </w:pPr>
    <w:rPr>
      <w:rFonts w:ascii="宋体" w:eastAsia="宋体" w:hAnsi="宋体" w:cs="宋体"/>
      <w:kern w:val="0"/>
      <w:sz w:val="24"/>
      <w:szCs w:val="24"/>
    </w:rPr>
  </w:style>
  <w:style w:type="paragraph" w:customStyle="1" w:styleId="inputtime">
    <w:name w:val="input_time"/>
    <w:basedOn w:val="a"/>
    <w:rsid w:val="00D806AD"/>
    <w:pPr>
      <w:widowControl/>
      <w:pBdr>
        <w:top w:val="single" w:sz="6" w:space="0" w:color="808080"/>
        <w:left w:val="single" w:sz="6" w:space="0" w:color="808080"/>
        <w:bottom w:val="single" w:sz="6" w:space="0" w:color="D4D0C7"/>
        <w:right w:val="single" w:sz="6" w:space="0" w:color="D4D0C7"/>
      </w:pBdr>
      <w:spacing w:before="100" w:beforeAutospacing="1" w:after="100" w:afterAutospacing="1" w:line="285" w:lineRule="atLeast"/>
      <w:jc w:val="left"/>
    </w:pPr>
    <w:rPr>
      <w:rFonts w:ascii="宋体" w:eastAsia="宋体" w:hAnsi="宋体" w:cs="宋体"/>
      <w:kern w:val="0"/>
      <w:sz w:val="24"/>
      <w:szCs w:val="24"/>
    </w:rPr>
  </w:style>
  <w:style w:type="paragraph" w:customStyle="1" w:styleId="contentcenter">
    <w:name w:val="content_center"/>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logincontent">
    <w:name w:val="login_content"/>
    <w:basedOn w:val="a"/>
    <w:rsid w:val="00D806A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inputlogin">
    <w:name w:val="input_login"/>
    <w:basedOn w:val="a"/>
    <w:rsid w:val="00D806AD"/>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210" w:lineRule="atLeast"/>
      <w:jc w:val="left"/>
    </w:pPr>
    <w:rPr>
      <w:rFonts w:ascii="宋体" w:eastAsia="宋体" w:hAnsi="宋体" w:cs="宋体"/>
      <w:kern w:val="0"/>
      <w:sz w:val="24"/>
      <w:szCs w:val="24"/>
    </w:rPr>
  </w:style>
  <w:style w:type="paragraph" w:customStyle="1" w:styleId="rightnews">
    <w:name w:val="right_news"/>
    <w:basedOn w:val="a"/>
    <w:rsid w:val="00D806AD"/>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fontnews">
    <w:name w:val="font_news"/>
    <w:basedOn w:val="a"/>
    <w:rsid w:val="00D806AD"/>
    <w:pPr>
      <w:widowControl/>
      <w:spacing w:before="100" w:beforeAutospacing="1" w:after="100" w:afterAutospacing="1"/>
      <w:jc w:val="left"/>
    </w:pPr>
    <w:rPr>
      <w:rFonts w:ascii="宋体" w:eastAsia="宋体" w:hAnsi="宋体" w:cs="宋体"/>
      <w:b/>
      <w:bCs/>
      <w:color w:val="FFFFFF"/>
      <w:kern w:val="0"/>
      <w:szCs w:val="21"/>
    </w:rPr>
  </w:style>
  <w:style w:type="paragraph" w:customStyle="1" w:styleId="newscontentcenter">
    <w:name w:val="news_content_center"/>
    <w:basedOn w:val="a"/>
    <w:rsid w:val="00D806AD"/>
    <w:pPr>
      <w:widowControl/>
      <w:pBdr>
        <w:left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marginbottom">
    <w:name w:val="margin_bottom"/>
    <w:basedOn w:val="a"/>
    <w:rsid w:val="00D806AD"/>
    <w:pPr>
      <w:widowControl/>
      <w:spacing w:before="100" w:beforeAutospacing="1" w:after="285"/>
      <w:jc w:val="left"/>
    </w:pPr>
    <w:rPr>
      <w:rFonts w:ascii="宋体" w:eastAsia="宋体" w:hAnsi="宋体" w:cs="宋体"/>
      <w:kern w:val="0"/>
      <w:sz w:val="24"/>
      <w:szCs w:val="24"/>
    </w:rPr>
  </w:style>
  <w:style w:type="paragraph" w:customStyle="1" w:styleId="morecontent">
    <w:name w:val="more_content"/>
    <w:basedOn w:val="a"/>
    <w:rsid w:val="00D806AD"/>
    <w:pPr>
      <w:widowControl/>
      <w:pBdr>
        <w:top w:val="single" w:sz="6" w:space="0" w:color="CCCCCC"/>
        <w:left w:val="single" w:sz="6" w:space="0" w:color="CCCCCC"/>
        <w:bottom w:val="single" w:sz="6" w:space="0" w:color="CCCCCC"/>
        <w:right w:val="single" w:sz="6" w:space="0" w:color="CCCCCC"/>
      </w:pBdr>
      <w:shd w:val="clear" w:color="auto" w:fill="F4F4F4"/>
      <w:spacing w:before="225" w:after="225"/>
      <w:jc w:val="left"/>
    </w:pPr>
    <w:rPr>
      <w:rFonts w:ascii="宋体" w:eastAsia="宋体" w:hAnsi="宋体" w:cs="宋体"/>
      <w:kern w:val="0"/>
      <w:sz w:val="24"/>
      <w:szCs w:val="24"/>
    </w:rPr>
  </w:style>
  <w:style w:type="paragraph" w:customStyle="1" w:styleId="bottom">
    <w:name w:val="bottom"/>
    <w:basedOn w:val="a"/>
    <w:rsid w:val="00D806AD"/>
    <w:pPr>
      <w:widowControl/>
      <w:spacing w:before="100" w:beforeAutospacing="1" w:after="100" w:afterAutospacing="1" w:line="375" w:lineRule="atLeast"/>
      <w:jc w:val="center"/>
    </w:pPr>
    <w:rPr>
      <w:rFonts w:ascii="宋体" w:eastAsia="宋体" w:hAnsi="宋体" w:cs="宋体"/>
      <w:kern w:val="0"/>
      <w:sz w:val="24"/>
      <w:szCs w:val="24"/>
    </w:rPr>
  </w:style>
  <w:style w:type="paragraph" w:customStyle="1" w:styleId="leftlogin">
    <w:name w:val="left_login"/>
    <w:basedOn w:val="a"/>
    <w:rsid w:val="00D806AD"/>
    <w:pPr>
      <w:widowControl/>
      <w:shd w:val="clear" w:color="auto" w:fill="EBF4FF"/>
      <w:spacing w:before="100" w:beforeAutospacing="1" w:after="100" w:afterAutospacing="1"/>
      <w:jc w:val="left"/>
    </w:pPr>
    <w:rPr>
      <w:rFonts w:ascii="宋体" w:eastAsia="宋体" w:hAnsi="宋体" w:cs="宋体"/>
      <w:kern w:val="0"/>
      <w:sz w:val="24"/>
      <w:szCs w:val="24"/>
    </w:rPr>
  </w:style>
  <w:style w:type="paragraph" w:customStyle="1" w:styleId="menberloginback">
    <w:name w:val="menber_login_back"/>
    <w:basedOn w:val="a"/>
    <w:rsid w:val="00D806AD"/>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red">
    <w:name w:val="red"/>
    <w:basedOn w:val="a"/>
    <w:rsid w:val="00D806AD"/>
    <w:pPr>
      <w:widowControl/>
      <w:spacing w:before="100" w:beforeAutospacing="1" w:after="100" w:afterAutospacing="1"/>
      <w:jc w:val="left"/>
    </w:pPr>
    <w:rPr>
      <w:rFonts w:ascii="宋体" w:eastAsia="宋体" w:hAnsi="宋体" w:cs="宋体"/>
      <w:b/>
      <w:bCs/>
      <w:color w:val="FF0000"/>
      <w:kern w:val="0"/>
      <w:sz w:val="24"/>
      <w:szCs w:val="24"/>
    </w:rPr>
  </w:style>
  <w:style w:type="paragraph" w:customStyle="1" w:styleId="login01">
    <w:name w:val="login_01"/>
    <w:basedOn w:val="a"/>
    <w:rsid w:val="00D806AD"/>
    <w:pPr>
      <w:widowControl/>
      <w:spacing w:after="300" w:line="300" w:lineRule="atLeast"/>
      <w:ind w:left="120" w:right="120"/>
      <w:jc w:val="left"/>
    </w:pPr>
    <w:rPr>
      <w:rFonts w:ascii="宋体" w:eastAsia="宋体" w:hAnsi="宋体" w:cs="宋体"/>
      <w:kern w:val="0"/>
      <w:sz w:val="24"/>
      <w:szCs w:val="24"/>
    </w:rPr>
  </w:style>
  <w:style w:type="paragraph" w:customStyle="1" w:styleId="loginright">
    <w:name w:val="login_right"/>
    <w:basedOn w:val="a"/>
    <w:rsid w:val="00D806AD"/>
    <w:pPr>
      <w:widowControl/>
      <w:pBdr>
        <w:top w:val="single" w:sz="6" w:space="0" w:color="AACCEE"/>
        <w:left w:val="single" w:sz="6" w:space="0" w:color="AACCEE"/>
        <w:bottom w:val="single" w:sz="6" w:space="0" w:color="AACCEE"/>
        <w:right w:val="single" w:sz="6" w:space="0" w:color="AACCEE"/>
      </w:pBdr>
      <w:spacing w:before="100" w:beforeAutospacing="1" w:after="100" w:afterAutospacing="1"/>
      <w:jc w:val="left"/>
    </w:pPr>
    <w:rPr>
      <w:rFonts w:ascii="宋体" w:eastAsia="宋体" w:hAnsi="宋体" w:cs="宋体"/>
      <w:kern w:val="0"/>
      <w:sz w:val="24"/>
      <w:szCs w:val="24"/>
    </w:rPr>
  </w:style>
  <w:style w:type="paragraph" w:customStyle="1" w:styleId="positions">
    <w:name w:val="positions"/>
    <w:basedOn w:val="a"/>
    <w:rsid w:val="00D806AD"/>
    <w:pPr>
      <w:widowControl/>
      <w:spacing w:before="100" w:beforeAutospacing="1" w:after="100" w:afterAutospacing="1" w:line="465" w:lineRule="atLeast"/>
      <w:jc w:val="left"/>
    </w:pPr>
    <w:rPr>
      <w:rFonts w:ascii="宋体" w:eastAsia="宋体" w:hAnsi="宋体" w:cs="宋体"/>
      <w:kern w:val="0"/>
      <w:sz w:val="24"/>
      <w:szCs w:val="24"/>
    </w:rPr>
  </w:style>
  <w:style w:type="paragraph" w:customStyle="1" w:styleId="tableback">
    <w:name w:val="table_back"/>
    <w:basedOn w:val="a"/>
    <w:rsid w:val="00D806AD"/>
    <w:pPr>
      <w:widowControl/>
      <w:shd w:val="clear" w:color="auto" w:fill="AACCEE"/>
      <w:spacing w:before="100" w:beforeAutospacing="1" w:after="100" w:afterAutospacing="1"/>
      <w:jc w:val="left"/>
    </w:pPr>
    <w:rPr>
      <w:rFonts w:ascii="宋体" w:eastAsia="宋体" w:hAnsi="宋体" w:cs="宋体"/>
      <w:b/>
      <w:bCs/>
      <w:color w:val="333333"/>
      <w:kern w:val="0"/>
      <w:sz w:val="24"/>
      <w:szCs w:val="24"/>
    </w:rPr>
  </w:style>
  <w:style w:type="paragraph" w:customStyle="1" w:styleId="underline01">
    <w:name w:val="underline_01"/>
    <w:basedOn w:val="a"/>
    <w:rsid w:val="00D806AD"/>
    <w:pPr>
      <w:widowControl/>
      <w:pBdr>
        <w:bottom w:val="dashed" w:sz="6" w:space="0" w:color="AACCEE"/>
      </w:pBdr>
      <w:spacing w:before="100" w:beforeAutospacing="1" w:after="100" w:afterAutospacing="1"/>
      <w:jc w:val="left"/>
    </w:pPr>
    <w:rPr>
      <w:rFonts w:ascii="宋体" w:eastAsia="宋体" w:hAnsi="宋体" w:cs="宋体"/>
      <w:kern w:val="0"/>
      <w:sz w:val="24"/>
      <w:szCs w:val="24"/>
    </w:rPr>
  </w:style>
  <w:style w:type="paragraph" w:customStyle="1" w:styleId="inputzixun">
    <w:name w:val="input_zixun"/>
    <w:basedOn w:val="a"/>
    <w:rsid w:val="00D806AD"/>
    <w:pPr>
      <w:widowControl/>
      <w:pBdr>
        <w:top w:val="single" w:sz="6" w:space="0" w:color="7F9DB9"/>
        <w:left w:val="single" w:sz="6" w:space="0" w:color="7F9DB9"/>
        <w:bottom w:val="single" w:sz="6" w:space="0" w:color="7F9DB9"/>
        <w:right w:val="single" w:sz="6" w:space="0" w:color="7F9DB9"/>
      </w:pBdr>
      <w:spacing w:before="100" w:beforeAutospacing="1" w:after="100" w:afterAutospacing="1" w:line="285" w:lineRule="atLeast"/>
      <w:jc w:val="left"/>
    </w:pPr>
    <w:rPr>
      <w:rFonts w:ascii="宋体" w:eastAsia="宋体" w:hAnsi="宋体" w:cs="宋体"/>
      <w:kern w:val="0"/>
      <w:sz w:val="24"/>
      <w:szCs w:val="24"/>
    </w:rPr>
  </w:style>
  <w:style w:type="paragraph" w:customStyle="1" w:styleId="inputpaper">
    <w:name w:val="input_paper"/>
    <w:basedOn w:val="a"/>
    <w:rsid w:val="00D806AD"/>
    <w:pPr>
      <w:widowControl/>
      <w:pBdr>
        <w:top w:val="single" w:sz="6" w:space="0" w:color="7F9DB9"/>
        <w:left w:val="single" w:sz="6" w:space="0" w:color="7F9DB9"/>
        <w:bottom w:val="single" w:sz="6" w:space="0" w:color="7F9DB9"/>
        <w:right w:val="single" w:sz="6" w:space="0" w:color="7F9DB9"/>
      </w:pBdr>
      <w:spacing w:before="100" w:beforeAutospacing="1" w:after="100" w:afterAutospacing="1" w:line="255" w:lineRule="atLeast"/>
      <w:jc w:val="left"/>
    </w:pPr>
    <w:rPr>
      <w:rFonts w:ascii="宋体" w:eastAsia="宋体" w:hAnsi="宋体" w:cs="宋体"/>
      <w:kern w:val="0"/>
      <w:sz w:val="24"/>
      <w:szCs w:val="24"/>
    </w:rPr>
  </w:style>
  <w:style w:type="paragraph" w:customStyle="1" w:styleId="titlecontent">
    <w:name w:val="title_content"/>
    <w:basedOn w:val="a"/>
    <w:rsid w:val="00D806AD"/>
    <w:pPr>
      <w:widowControl/>
      <w:spacing w:before="525"/>
      <w:jc w:val="left"/>
    </w:pPr>
    <w:rPr>
      <w:rFonts w:ascii="宋体" w:eastAsia="宋体" w:hAnsi="宋体" w:cs="宋体"/>
      <w:kern w:val="0"/>
      <w:sz w:val="24"/>
      <w:szCs w:val="24"/>
    </w:rPr>
  </w:style>
  <w:style w:type="paragraph" w:customStyle="1" w:styleId="close">
    <w:name w:val="close"/>
    <w:basedOn w:val="a"/>
    <w:rsid w:val="00D806AD"/>
    <w:pPr>
      <w:widowControl/>
      <w:spacing w:before="100" w:beforeAutospacing="1" w:after="100" w:afterAutospacing="1"/>
      <w:jc w:val="center"/>
    </w:pPr>
    <w:rPr>
      <w:rFonts w:ascii="宋体" w:eastAsia="宋体" w:hAnsi="宋体" w:cs="宋体"/>
      <w:kern w:val="0"/>
      <w:sz w:val="18"/>
      <w:szCs w:val="18"/>
    </w:rPr>
  </w:style>
  <w:style w:type="paragraph" w:customStyle="1" w:styleId="searchleft01">
    <w:name w:val="search_left_01"/>
    <w:basedOn w:val="a"/>
    <w:rsid w:val="00D806AD"/>
    <w:pPr>
      <w:widowControl/>
      <w:jc w:val="center"/>
    </w:pPr>
    <w:rPr>
      <w:rFonts w:ascii="宋体" w:eastAsia="宋体" w:hAnsi="宋体" w:cs="宋体"/>
      <w:kern w:val="0"/>
      <w:sz w:val="24"/>
      <w:szCs w:val="24"/>
    </w:rPr>
  </w:style>
  <w:style w:type="paragraph" w:customStyle="1" w:styleId="baomingcontent">
    <w:name w:val="baoming_content"/>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onclick">
    <w:name w:val="onclick"/>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menuother">
    <w:name w:val="menu_other"/>
    <w:basedOn w:val="a"/>
    <w:rsid w:val="00D806AD"/>
    <w:pPr>
      <w:widowControl/>
      <w:spacing w:before="100" w:beforeAutospacing="1" w:after="100" w:afterAutospacing="1"/>
      <w:jc w:val="left"/>
    </w:pPr>
    <w:rPr>
      <w:rFonts w:ascii="宋体" w:eastAsia="宋体" w:hAnsi="宋体" w:cs="宋体"/>
      <w:kern w:val="0"/>
      <w:sz w:val="24"/>
      <w:szCs w:val="24"/>
    </w:rPr>
  </w:style>
  <w:style w:type="paragraph" w:customStyle="1" w:styleId="menuother1">
    <w:name w:val="menu_other1"/>
    <w:basedOn w:val="a"/>
    <w:rsid w:val="00D806AD"/>
    <w:pPr>
      <w:widowControl/>
      <w:spacing w:before="100" w:beforeAutospacing="1" w:after="100" w:afterAutospacing="1" w:line="420" w:lineRule="atLeast"/>
      <w:jc w:val="left"/>
    </w:pPr>
    <w:rPr>
      <w:rFonts w:ascii="宋体" w:eastAsia="宋体" w:hAnsi="宋体" w:cs="宋体"/>
      <w:b/>
      <w:bCs/>
      <w:color w:val="FFFFFF"/>
      <w:kern w:val="0"/>
      <w:sz w:val="24"/>
      <w:szCs w:val="24"/>
    </w:rPr>
  </w:style>
  <w:style w:type="paragraph" w:customStyle="1" w:styleId="baomingcontent1">
    <w:name w:val="baoming_content1"/>
    <w:basedOn w:val="a"/>
    <w:rsid w:val="00D806AD"/>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onclick1">
    <w:name w:val="onclick1"/>
    <w:basedOn w:val="a"/>
    <w:rsid w:val="00D806AD"/>
    <w:pPr>
      <w:widowControl/>
      <w:spacing w:before="100" w:beforeAutospacing="1" w:after="100" w:afterAutospacing="1"/>
      <w:jc w:val="left"/>
    </w:pPr>
    <w:rPr>
      <w:rFonts w:ascii="宋体" w:eastAsia="宋体" w:hAnsi="宋体" w:cs="宋体"/>
      <w:b/>
      <w:bCs/>
      <w:kern w:val="0"/>
      <w:sz w:val="24"/>
      <w:szCs w:val="24"/>
    </w:rPr>
  </w:style>
  <w:style w:type="paragraph" w:styleId="a5">
    <w:name w:val="Normal (Web)"/>
    <w:basedOn w:val="a"/>
    <w:uiPriority w:val="99"/>
    <w:unhideWhenUsed/>
    <w:rsid w:val="00D806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0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19854">
      <w:bodyDiv w:val="1"/>
      <w:marLeft w:val="0"/>
      <w:marRight w:val="0"/>
      <w:marTop w:val="0"/>
      <w:marBottom w:val="0"/>
      <w:divBdr>
        <w:top w:val="none" w:sz="0" w:space="0" w:color="auto"/>
        <w:left w:val="none" w:sz="0" w:space="0" w:color="auto"/>
        <w:bottom w:val="none" w:sz="0" w:space="0" w:color="auto"/>
        <w:right w:val="none" w:sz="0" w:space="0" w:color="auto"/>
      </w:divBdr>
      <w:divsChild>
        <w:div w:id="1599022745">
          <w:marLeft w:val="0"/>
          <w:marRight w:val="0"/>
          <w:marTop w:val="0"/>
          <w:marBottom w:val="0"/>
          <w:divBdr>
            <w:top w:val="none" w:sz="0" w:space="0" w:color="auto"/>
            <w:left w:val="none" w:sz="0" w:space="0" w:color="auto"/>
            <w:bottom w:val="none" w:sz="0" w:space="0" w:color="auto"/>
            <w:right w:val="none" w:sz="0" w:space="0" w:color="auto"/>
          </w:divBdr>
          <w:divsChild>
            <w:div w:id="1507204908">
              <w:marLeft w:val="0"/>
              <w:marRight w:val="0"/>
              <w:marTop w:val="0"/>
              <w:marBottom w:val="0"/>
              <w:divBdr>
                <w:top w:val="none" w:sz="0" w:space="0" w:color="auto"/>
                <w:left w:val="none" w:sz="0" w:space="0" w:color="auto"/>
                <w:bottom w:val="none" w:sz="0" w:space="0" w:color="auto"/>
                <w:right w:val="none" w:sz="0" w:space="0" w:color="auto"/>
              </w:divBdr>
              <w:divsChild>
                <w:div w:id="1274167553">
                  <w:marLeft w:val="0"/>
                  <w:marRight w:val="0"/>
                  <w:marTop w:val="0"/>
                  <w:marBottom w:val="0"/>
                  <w:divBdr>
                    <w:top w:val="single" w:sz="6" w:space="0" w:color="AACCEE"/>
                    <w:left w:val="single" w:sz="6" w:space="0" w:color="AACCEE"/>
                    <w:bottom w:val="single" w:sz="6" w:space="0" w:color="AACCEE"/>
                    <w:right w:val="single" w:sz="6" w:space="0" w:color="AACCEE"/>
                  </w:divBdr>
                  <w:divsChild>
                    <w:div w:id="2035686167">
                      <w:marLeft w:val="0"/>
                      <w:marRight w:val="0"/>
                      <w:marTop w:val="525"/>
                      <w:marBottom w:val="0"/>
                      <w:divBdr>
                        <w:top w:val="none" w:sz="0" w:space="0" w:color="auto"/>
                        <w:left w:val="none" w:sz="0" w:space="0" w:color="auto"/>
                        <w:bottom w:val="none" w:sz="0" w:space="0" w:color="auto"/>
                        <w:right w:val="none" w:sz="0" w:space="0" w:color="auto"/>
                      </w:divBdr>
                      <w:divsChild>
                        <w:div w:id="1722367377">
                          <w:marLeft w:val="0"/>
                          <w:marRight w:val="0"/>
                          <w:marTop w:val="0"/>
                          <w:marBottom w:val="0"/>
                          <w:divBdr>
                            <w:top w:val="none" w:sz="0" w:space="0" w:color="auto"/>
                            <w:left w:val="none" w:sz="0" w:space="0" w:color="auto"/>
                            <w:bottom w:val="dashed" w:sz="6" w:space="0" w:color="AACCEE"/>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2016-03-23T15:43:00Z</dcterms:created>
  <dcterms:modified xsi:type="dcterms:W3CDTF">2016-03-23T15:43:00Z</dcterms:modified>
</cp:coreProperties>
</file>