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t>附件1：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t>2016年全南县高校现场招聘医学专业技术人员岗位及要求一览表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8302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143"/>
        <w:gridCol w:w="563"/>
        <w:gridCol w:w="763"/>
        <w:gridCol w:w="1475"/>
        <w:gridCol w:w="1315"/>
        <w:gridCol w:w="1407"/>
        <w:gridCol w:w="10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招聘岗位名称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招聘名额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编制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全南县人民医院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临床医生（内科）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事业编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临床医生（儿科）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事业编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影像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临床医学（医学影像方向）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全日制专科以上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事业编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bookmarkEnd w:id="0"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麻醉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麻醉或临床医学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全日制专科以上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事业编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全南县妇保院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事业编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影像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临床医学（医学影像方向）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全日制专科以上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事业编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影像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临床医学（超声方向）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全日制专科以上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事业编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麻醉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男女不限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麻醉专业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全日制专科以上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事业编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color w:val="000000"/>
          <w:kern w:val="0"/>
          <w:sz w:val="24"/>
          <w:szCs w:val="24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C56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2016-04-12T04:49:01Z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