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shd w:val="clear" w:fill="FFFFFF"/>
        <w:spacing w:line="336" w:lineRule="atLeast"/>
        <w:ind w:left="0" w:firstLine="0"/>
        <w:rPr>
          <w:rFonts w:hint="eastAsia"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附件1 </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w:t>
      </w:r>
    </w:p>
    <w:p>
      <w:pPr>
        <w:pStyle w:val="2"/>
        <w:keepNext w:val="0"/>
        <w:keepLines w:val="0"/>
        <w:widowControl/>
        <w:suppressLineNumbers w:val="0"/>
        <w:shd w:val="clear" w:fill="FFFFFF"/>
        <w:spacing w:line="336" w:lineRule="atLeast"/>
        <w:ind w:left="0" w:firstLine="0"/>
        <w:jc w:val="center"/>
        <w:rPr>
          <w:rFonts w:hint="default" w:ascii="Tahoma" w:hAnsi="Tahoma" w:eastAsia="Tahoma" w:cs="Tahoma"/>
          <w:b w:val="0"/>
          <w:i w:val="0"/>
          <w:caps w:val="0"/>
          <w:color w:val="333333"/>
          <w:spacing w:val="0"/>
          <w:sz w:val="21"/>
          <w:szCs w:val="21"/>
        </w:rPr>
      </w:pPr>
      <w:r>
        <w:rPr>
          <w:rStyle w:val="4"/>
          <w:rFonts w:hint="default" w:ascii="Tahoma" w:hAnsi="Tahoma" w:eastAsia="Tahoma" w:cs="Tahoma"/>
          <w:i w:val="0"/>
          <w:caps w:val="0"/>
          <w:color w:val="333333"/>
          <w:spacing w:val="0"/>
          <w:sz w:val="27"/>
          <w:szCs w:val="27"/>
          <w:shd w:val="clear" w:fill="FFFFFF"/>
        </w:rPr>
        <w:t> 2016年阳谷县招聘聘用制教师岗位汇总表</w:t>
      </w:r>
    </w:p>
    <w:tbl>
      <w:tblPr>
        <w:tblW w:w="8329" w:type="dxa"/>
        <w:jc w:val="center"/>
        <w:tblCellSpacing w:w="0" w:type="dxa"/>
        <w:tblInd w:w="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343"/>
        <w:gridCol w:w="409"/>
        <w:gridCol w:w="1529"/>
        <w:gridCol w:w="521"/>
        <w:gridCol w:w="500"/>
        <w:gridCol w:w="521"/>
        <w:gridCol w:w="557"/>
        <w:gridCol w:w="454"/>
        <w:gridCol w:w="375"/>
        <w:gridCol w:w="869"/>
        <w:gridCol w:w="1328"/>
        <w:gridCol w:w="604"/>
        <w:gridCol w:w="3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序号</w:t>
            </w:r>
          </w:p>
        </w:tc>
        <w:tc>
          <w:tcPr>
            <w:tcW w:w="40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主管部门</w:t>
            </w: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招聘单位</w:t>
            </w: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岗位</w:t>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t>类别</w:t>
            </w:r>
          </w:p>
        </w:tc>
        <w:tc>
          <w:tcPr>
            <w:tcW w:w="500"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岗位</w:t>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t>等级</w:t>
            </w: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岗位</w:t>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t>名称</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岗位代码</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招聘人数</w:t>
            </w:r>
          </w:p>
        </w:tc>
        <w:tc>
          <w:tcPr>
            <w:tcW w:w="375"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学历</w:t>
            </w: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专业及相近专业名称</w:t>
            </w:r>
          </w:p>
        </w:tc>
        <w:tc>
          <w:tcPr>
            <w:tcW w:w="1328"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其他条件要求</w:t>
            </w: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面试比例</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w:t>
            </w:r>
          </w:p>
        </w:tc>
        <w:tc>
          <w:tcPr>
            <w:tcW w:w="409" w:type="dxa"/>
            <w:vMerge w:val="restart"/>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阳</w:t>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t>谷</w:t>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t>县</w:t>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t>教</w:t>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t>育</w:t>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br w:type="textWrapping"/>
            </w:r>
            <w:r>
              <w:rPr>
                <w:rFonts w:hint="default" w:ascii="Tahoma" w:hAnsi="Tahoma" w:eastAsia="Tahoma" w:cs="Tahoma"/>
                <w:b w:val="0"/>
                <w:i w:val="0"/>
                <w:caps w:val="0"/>
                <w:color w:val="333333"/>
                <w:spacing w:val="0"/>
                <w:kern w:val="0"/>
                <w:sz w:val="21"/>
                <w:szCs w:val="21"/>
                <w:lang w:val="en-US" w:eastAsia="zh-CN" w:bidi="ar"/>
              </w:rPr>
              <w:t>局</w:t>
            </w: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实验幼儿园2人；安镇联校1人；大布联校1人；定水联校1人；范海联校2人；石佛联校1人；翟庄联校2人</w:t>
            </w:r>
          </w:p>
        </w:tc>
        <w:tc>
          <w:tcPr>
            <w:tcW w:w="521" w:type="dxa"/>
            <w:vMerge w:val="restart"/>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专业技术岗位</w:t>
            </w:r>
          </w:p>
        </w:tc>
        <w:tc>
          <w:tcPr>
            <w:tcW w:w="500" w:type="dxa"/>
            <w:vMerge w:val="restart"/>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初级</w:t>
            </w: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幼儿教学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101</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10</w:t>
            </w:r>
          </w:p>
        </w:tc>
        <w:tc>
          <w:tcPr>
            <w:tcW w:w="375" w:type="dxa"/>
            <w:vMerge w:val="restart"/>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中专及以上</w:t>
            </w: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见其他条件要求</w:t>
            </w:r>
          </w:p>
        </w:tc>
        <w:tc>
          <w:tcPr>
            <w:tcW w:w="1328" w:type="dxa"/>
            <w:vMerge w:val="restart"/>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须具有下列教师资格和专业资质之一：1、具有幼儿教师资格证,学前教育或幼儿教育专业幼儿师范学校或中等师范学校学历人员。2、具有幼儿教师资格证、大专及以上学历人员。3、具有小学、初中、高中教师资格证，音乐、美术、体育专业大专及以上学历人员。</w:t>
            </w: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博济桥联校2人；侨润联校2人；阿城联校1人；高庙王联校1人；四棚联校2人；寿张联校1人；闫楼联校1人；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幼儿教学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102</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10</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见其他条件要求</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3</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铜谷小学13人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小学语文教学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201</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13</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restart"/>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须具有小学及以上学段教师资格证，中专学历必须为中等师范学校毕业人员。</w:t>
            </w: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4</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安镇联校2人；石佛联校2人；大布联校2人；定水联校3人；七级联校3人；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小学语文教学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202</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12</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5</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博济联校1人；高庙王联校2人；金斗营联校2人；李台联校2人；四棚联校1人；寿张联校3人;范海联校1人；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小学语文教学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203</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12</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6</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十五里元联校3人；西湖联校3人；闫楼联校4人；张秋联校2人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小学语文教学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204</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12</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7</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博济联校1人；高庙王联校2人，金斗营联校1人；西湖联校1人；李台联校2人，四棚联校1人；寿张联校2人；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小学数学教学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205</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10</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restart"/>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须具有小学及以上学段教师资格证，中专学历必须为中等师范学校毕业人员。</w:t>
            </w: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8</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十五里联校3人，范海联校1人，闫楼联校4人；阿城联校3人；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小学数学教学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206</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9</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安镇联校1人；大布联校2人；七级联校1人；石佛联校2人；铜谷小学2人，张秋联校2人；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小学数学教学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207</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10</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10</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侨润联校2人；金斗营联校1人；李台联校1人；四棚联校2人；十五元联校1人；寿张联校1人；西湖联校3人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小学英语教学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208</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博济联校1人；安镇联校1人；大布联校2人；阿城联校1人；范海联校1人；高庙王联校2人；七级联校1人；石佛联校2人；铜谷小学1人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小学英语教学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209</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12</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12</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博济联校1人；安镇联校1人；定水联校2人；阿城联校1人；范海联校1人；高庙王联校1人；郭屯联校1人；石佛联校1人；十五里元联校1人；寿张联校1人；翟庄联校1人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小学音乐教学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210</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12</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13</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安镇联校1人；阿城联校1人；郭屯联校1人；七级联校1人；十五里元联校1人；寿张联校1人；张秋联校1人；翟庄联校1人；铜谷小学1人；高庙王联校1人；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小学体育教学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211</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10</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14</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安镇联校1人；定水联校2人；阿城联校2人；范海联校1人；郭屯联校1人；十五里元联校1人；寿张联校1人；翟庄联校1人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小学美术教学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212</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10</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15</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博济联校1人；阿城联校1人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小学信息技术教学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213</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16</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侨润中学1人；高庙王中学1人；郭屯中学1人；李台中学1人；西湖中学1人；闫楼中学1人；铜谷中学3人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初中语文教学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301</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9</w:t>
            </w:r>
          </w:p>
        </w:tc>
        <w:tc>
          <w:tcPr>
            <w:tcW w:w="375" w:type="dxa"/>
            <w:vMerge w:val="restart"/>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大专及以上</w:t>
            </w: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restart"/>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须具有初级中学及以上学段的教师资格证。</w:t>
            </w: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17</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金斗营中学1人；铜谷中学3人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初中数学教学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302</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4</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18</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范海中学1人；郭屯中学1人；李台中学1人；十五里中学1人；西湖中学1人；闫楼中学1人；铜谷中学3人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初中英语教学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303</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9</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19</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阿城中学1人；铜谷中学1人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初中物理教学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304</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20</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安镇中学1人；李台中学1人；铜谷中学1人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初中化学教学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305</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3</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21</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李台中学1人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初中生物教学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306</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22</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铜谷中学2人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初中政治教学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307</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23</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侨润中学1人；铜谷中学2人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初中历史教学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308</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3</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24</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高庙王中学1人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初中地理教学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309</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25</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铜谷中学1人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初中音乐教学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310</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26</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铜谷中学2人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初中体育教学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311</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27</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寿张中学1人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初中信息技术教学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312</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28</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一中2人；二中3人；三中3人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高中语文教学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401</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8</w:t>
            </w:r>
          </w:p>
        </w:tc>
        <w:tc>
          <w:tcPr>
            <w:tcW w:w="375" w:type="dxa"/>
            <w:vMerge w:val="restart"/>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本科及以上</w:t>
            </w: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restart"/>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须具有高级中学及以上学段的教师资格证。</w:t>
            </w: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29</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二中2人；三中3人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高中数学教学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402</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5</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30</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一中2人；三中5人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高中英语教学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403</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7</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31</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三中1人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高中物理教学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404</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32</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三中1人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高中化学教学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405</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33</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三中2人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高中生物教学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406</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34</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二中1人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高中政治教学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407</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35</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一中1人；三中1人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高中历史教学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408</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36</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二中1人；三中1人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高中地理教学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409</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2</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37</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二中1人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高中俄语教学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410</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不限</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38</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职业中专1人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中专机械教学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501</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机械类及相关专业</w:t>
            </w:r>
          </w:p>
        </w:tc>
        <w:tc>
          <w:tcPr>
            <w:tcW w:w="1328" w:type="dxa"/>
            <w:vMerge w:val="restart"/>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试用期满合格，取得相应教师资格证的予以正式聘用；试用期满合格，但未取得相应教师资格证的，暂转为兼职教师使用，保留聘用资格1年，期间取得教师资格证书的，予以正式聘用。试用期满不合格的、逾期仍未取得相应教师资格证书的，解除聘用合同。</w:t>
            </w: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343"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39</w:t>
            </w:r>
          </w:p>
        </w:tc>
        <w:tc>
          <w:tcPr>
            <w:tcW w:w="409"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152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职业中专1人</w:t>
            </w:r>
          </w:p>
        </w:tc>
        <w:tc>
          <w:tcPr>
            <w:tcW w:w="521"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00"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521"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中专财会金融教学</w:t>
            </w:r>
          </w:p>
        </w:tc>
        <w:tc>
          <w:tcPr>
            <w:tcW w:w="557"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502</w:t>
            </w:r>
          </w:p>
        </w:tc>
        <w:tc>
          <w:tcPr>
            <w:tcW w:w="45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w:t>
            </w:r>
          </w:p>
        </w:tc>
        <w:tc>
          <w:tcPr>
            <w:tcW w:w="375"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86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金融、会计相关专业</w:t>
            </w:r>
          </w:p>
        </w:tc>
        <w:tc>
          <w:tcPr>
            <w:tcW w:w="1328" w:type="dxa"/>
            <w:vMerge w:val="continue"/>
            <w:shd w:val="clear" w:color="auto" w:fill="FFFFFF"/>
            <w:vAlign w:val="center"/>
          </w:tcPr>
          <w:p>
            <w:pPr>
              <w:jc w:val="center"/>
              <w:rPr>
                <w:rFonts w:hint="default" w:ascii="Tahoma" w:hAnsi="Tahoma" w:eastAsia="Tahoma" w:cs="Tahoma"/>
                <w:b w:val="0"/>
                <w:i w:val="0"/>
                <w:caps w:val="0"/>
                <w:color w:val="333333"/>
                <w:spacing w:val="0"/>
                <w:sz w:val="21"/>
                <w:szCs w:val="21"/>
              </w:rPr>
            </w:pPr>
          </w:p>
        </w:tc>
        <w:tc>
          <w:tcPr>
            <w:tcW w:w="604"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1:1.5</w:t>
            </w:r>
          </w:p>
        </w:tc>
        <w:tc>
          <w:tcPr>
            <w:tcW w:w="319" w:type="dxa"/>
            <w:shd w:val="clear" w:color="auto" w:fill="FFFFFF"/>
            <w:vAlign w:val="center"/>
          </w:tcPr>
          <w:p>
            <w:pPr>
              <w:keepNext w:val="0"/>
              <w:keepLines w:val="0"/>
              <w:widowControl/>
              <w:suppressLineNumbers w:val="0"/>
              <w:spacing w:line="24"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kern w:val="0"/>
                <w:sz w:val="21"/>
                <w:szCs w:val="21"/>
                <w:lang w:val="en-US" w:eastAsia="zh-CN" w:bidi="ar"/>
              </w:rPr>
              <w:t>　</w:t>
            </w:r>
          </w:p>
        </w:tc>
      </w:tr>
    </w:tbl>
    <w:p>
      <w:pPr>
        <w:pStyle w:val="2"/>
        <w:keepNext w:val="0"/>
        <w:keepLines w:val="0"/>
        <w:widowControl/>
        <w:suppressLineNumbers w:val="0"/>
        <w:shd w:val="clear" w:fill="FFFFFF"/>
        <w:spacing w:line="336"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w:t>
      </w:r>
    </w:p>
    <w:p>
      <w:pPr>
        <w:pStyle w:val="2"/>
        <w:keepNext w:val="0"/>
        <w:keepLines w:val="0"/>
        <w:widowControl/>
        <w:suppressLineNumbers w:val="0"/>
        <w:shd w:val="clear" w:fill="FFFFFF"/>
        <w:spacing w:line="336" w:lineRule="atLeast"/>
        <w:ind w:left="0" w:firstLine="0"/>
        <w:jc w:val="left"/>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附件2 </w:t>
      </w:r>
    </w:p>
    <w:p>
      <w:pPr>
        <w:pStyle w:val="2"/>
        <w:keepNext w:val="0"/>
        <w:keepLines w:val="0"/>
        <w:widowControl/>
        <w:suppressLineNumbers w:val="0"/>
        <w:shd w:val="clear" w:fill="FFFFFF"/>
        <w:spacing w:line="336" w:lineRule="atLeast"/>
        <w:ind w:left="0" w:firstLine="0"/>
        <w:jc w:val="center"/>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w:t>
      </w:r>
    </w:p>
    <w:p>
      <w:pPr>
        <w:pStyle w:val="2"/>
        <w:keepNext w:val="0"/>
        <w:keepLines w:val="0"/>
        <w:widowControl/>
        <w:suppressLineNumbers w:val="0"/>
        <w:shd w:val="clear" w:fill="FFFFFF"/>
        <w:spacing w:line="336" w:lineRule="atLeast"/>
        <w:ind w:left="0" w:firstLine="0"/>
        <w:jc w:val="center"/>
        <w:rPr>
          <w:rFonts w:hint="default" w:ascii="Tahoma" w:hAnsi="Tahoma" w:eastAsia="Tahoma" w:cs="Tahoma"/>
          <w:b w:val="0"/>
          <w:i w:val="0"/>
          <w:caps w:val="0"/>
          <w:color w:val="333333"/>
          <w:spacing w:val="0"/>
          <w:sz w:val="21"/>
          <w:szCs w:val="21"/>
        </w:rPr>
      </w:pPr>
      <w:r>
        <w:rPr>
          <w:rStyle w:val="4"/>
          <w:rFonts w:hint="default" w:ascii="Tahoma" w:hAnsi="Tahoma" w:eastAsia="Tahoma" w:cs="Tahoma"/>
          <w:i w:val="0"/>
          <w:caps w:val="0"/>
          <w:color w:val="333333"/>
          <w:spacing w:val="0"/>
          <w:sz w:val="27"/>
          <w:szCs w:val="27"/>
          <w:shd w:val="clear" w:fill="FFFFFF"/>
        </w:rPr>
        <w:t>2016年阳谷县招聘聘用制教师应聘须知</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1.哪些人员不能应聘？</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（1）在读本专科、专升本、研究生等全日制普通高校非应届毕业生，不能应聘，也不能用已取得的学历学位作为条件应聘。</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（2）曾受过刑事处罚和曾被开除公职的人员不能应聘。</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（3）现役军人及法律法规规定不得聘用的其他情形的人员不能应聘。</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2.“应届毕业生”如何界定？</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《通知》及本须知中提到的“应届毕业生”，系指纳入全国统一招生、国内全日制普通高等院校（含科研院所）2016年应届毕业的学生。</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3.填报相关表格、信息时需注意什么？</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应聘人员要仔细阅读《通知》及本须知内容，填报的相关表格、信息等必须真实、全面、准确。主要信息填报不实的，按弄虚作假处理；因信息填报不全、错误等导致未通过资格审查的，责任由应聘人员自负。</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4.对学历学位证书取得时间有什么要求？</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2016年应届毕业生的学历、学位及相关证书，须在2016年7月31日前取得；其他人员应聘的，须在2016年5月6日前取得国家承认的学历学位及相关证书（含根据聊人字〔2006〕17号文件规定取得的学历学位及相关证书）。</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5.对教师资格证书取得时间有什么要求？</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应聘教师岗位应具有相应岗位要求的教师资格证书。资格审查时须提供相应的教师资格证书或教师资格证书编号等有效证明。</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6.学历学位高于岗位要求的人员能否应聘？</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学历学位高于岗位要求，专业条件符合岗位规定的可以应聘。</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7.报考人员在网上提供的照片有什么要求？</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报考人员在网上报名时提供的照片，必须是1寸近期同底版免冠照片，并且与进入面试后资格审核所提供的照片同一底版。</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8.应聘人员是否可以改报其他岗位？</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应聘人员在待审核期内可以更改报考岗位。</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没有通过资格审查的应聘人员，在报名时间截止前可改报其他单位或该单位的其他岗位。</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通过资格审查的应聘人员，系统自动禁止该应聘人员改报其他岗位。</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取消招聘的岗位，其应聘人员如符合其他岗位的招聘条件，可在规定时间内改报其他岗位。改报时间为2016年5月11日上午8:00—12:00。 　</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9.进入面试的报考人员资格审查需要提交哪些证明材料？</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取得面试人选资格的应聘人员，需在规定的时间，按招聘岗位要求，提交1寸近期同底版免冠照片3张(须与网上报名的照片同一底版)、报名登记表、诚信承诺书、笔试准考证和相关材料(原件及复印件，复印件由审核单位留存)。相关材料主要有：</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（1）全日制普通高校毕业生应聘的，提交毕业证、身份证、户口簿、报到证、教师资格证等相关证件；</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其他人员应聘的，提交国家承认学历的毕业证、身份证、户口簿、教师资格证等相关证件;</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（2）在职人员应聘的，还需提交有用人管理权限部门或单位出具的同意应聘介绍信；</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（3）应聘小学、幼儿教师岗位，夫妻一方具有阳谷常住户口的，还需提交结婚证原件及复印件。</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10.留学回国人员应聘需要提供哪些材料？</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留学回国人员应聘的，除需提供《通知》中规定的相关材料外，还要出具国家教育部门的学历学位认证。学历学位认证由教育部留学服务中心负责。报考人员可登陆教育部留学服务中心网站（</w:t>
      </w:r>
      <w:r>
        <w:rPr>
          <w:rFonts w:hint="default" w:ascii="Tahoma" w:hAnsi="Tahoma" w:eastAsia="Tahoma" w:cs="Tahoma"/>
          <w:b w:val="0"/>
          <w:i w:val="0"/>
          <w:caps w:val="0"/>
          <w:color w:val="B32BD5"/>
          <w:spacing w:val="0"/>
          <w:sz w:val="21"/>
          <w:szCs w:val="21"/>
          <w:u w:val="single"/>
          <w:shd w:val="clear" w:fill="FFFFFF"/>
        </w:rPr>
        <w:fldChar w:fldCharType="begin"/>
      </w:r>
      <w:r>
        <w:rPr>
          <w:rFonts w:hint="default" w:ascii="Tahoma" w:hAnsi="Tahoma" w:eastAsia="Tahoma" w:cs="Tahoma"/>
          <w:b w:val="0"/>
          <w:i w:val="0"/>
          <w:caps w:val="0"/>
          <w:color w:val="B32BD5"/>
          <w:spacing w:val="0"/>
          <w:sz w:val="21"/>
          <w:szCs w:val="21"/>
          <w:u w:val="single"/>
          <w:shd w:val="clear" w:fill="FFFFFF"/>
        </w:rPr>
        <w:instrText xml:space="preserve"> HYPERLINK "http://www.cscse.edu.cn/" </w:instrText>
      </w:r>
      <w:r>
        <w:rPr>
          <w:rFonts w:hint="default" w:ascii="Tahoma" w:hAnsi="Tahoma" w:eastAsia="Tahoma" w:cs="Tahoma"/>
          <w:b w:val="0"/>
          <w:i w:val="0"/>
          <w:caps w:val="0"/>
          <w:color w:val="B32BD5"/>
          <w:spacing w:val="0"/>
          <w:sz w:val="21"/>
          <w:szCs w:val="21"/>
          <w:u w:val="single"/>
          <w:shd w:val="clear" w:fill="FFFFFF"/>
        </w:rPr>
        <w:fldChar w:fldCharType="separate"/>
      </w:r>
      <w:r>
        <w:rPr>
          <w:rStyle w:val="5"/>
          <w:rFonts w:hint="default" w:ascii="Tahoma" w:hAnsi="Tahoma" w:eastAsia="Tahoma" w:cs="Tahoma"/>
          <w:b w:val="0"/>
          <w:i w:val="0"/>
          <w:caps w:val="0"/>
          <w:color w:val="B32BD5"/>
          <w:spacing w:val="0"/>
          <w:sz w:val="21"/>
          <w:szCs w:val="21"/>
          <w:u w:val="single"/>
          <w:shd w:val="clear" w:fill="FFFFFF"/>
        </w:rPr>
        <w:t>http://www.cscse.edu.cn</w:t>
      </w:r>
      <w:r>
        <w:rPr>
          <w:rFonts w:hint="default" w:ascii="Tahoma" w:hAnsi="Tahoma" w:eastAsia="Tahoma" w:cs="Tahoma"/>
          <w:b w:val="0"/>
          <w:i w:val="0"/>
          <w:caps w:val="0"/>
          <w:color w:val="B32BD5"/>
          <w:spacing w:val="0"/>
          <w:sz w:val="21"/>
          <w:szCs w:val="21"/>
          <w:u w:val="single"/>
          <w:shd w:val="clear" w:fill="FFFFFF"/>
        </w:rPr>
        <w:fldChar w:fldCharType="end"/>
      </w:r>
      <w:r>
        <w:rPr>
          <w:rFonts w:hint="default" w:ascii="Tahoma" w:hAnsi="Tahoma" w:eastAsia="Tahoma" w:cs="Tahoma"/>
          <w:b w:val="0"/>
          <w:i w:val="0"/>
          <w:caps w:val="0"/>
          <w:color w:val="333333"/>
          <w:spacing w:val="0"/>
          <w:sz w:val="21"/>
          <w:szCs w:val="21"/>
          <w:shd w:val="clear" w:fill="FFFFFF"/>
        </w:rPr>
        <w:t>）查询认证的有关要求和程序。</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学历认证材料必须在2016年5月6日前取得，在面试前与其他材料一并交招聘单位审核。</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11.违纪违规及存在不诚信情形的应聘人员如何处理？</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对违纪违规的应聘人员，参照《公务员录用考试违纪违规行为处理办法（试行）》（人社部发〔2009〕126号）的有关规定，视情节轻重，给予责令改正、取消本次报考资格、考试成绩无效、取消聘用等相应处理。构成犯罪的，依法追究刑事责任。</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12.两个及以上用人单位的招聘岗位，应聘人员如何选择聘用单位？</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应聘两个及以上用人单位招聘岗位的，由应聘人员按总成绩从高分到低分（总成绩相同的，按笔试成绩的顺序），依次自愿挑选应聘单位。</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13.应聘人员还需注意哪些问题？</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《通知》附件与《通知》具备同等效力，凡在网上报名的应聘人员均视为同意《通知》及附件的相应规定。</w:t>
      </w:r>
    </w:p>
    <w:p>
      <w:pPr>
        <w:pStyle w:val="2"/>
        <w:keepNext w:val="0"/>
        <w:keepLines w:val="0"/>
        <w:widowControl/>
        <w:suppressLineNumbers w:val="0"/>
        <w:shd w:val="clear" w:fill="FFFFFF"/>
        <w:spacing w:line="336" w:lineRule="atLeast"/>
        <w:ind w:left="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shd w:val="clear" w:fill="FFFFFF"/>
        </w:rPr>
        <w:t>　　网上报名期间，应聘人员应在规定时间内尽早报名，及时查询初审结果，初审通过及时缴费，避免出现因本人未及时报名、未及时补充信息、未及时缴费等问题耽误应聘。整个招聘工作期间，应聘人员要及时了解招聘网站发布的最新信息，不要错过重要信息而影响考试聘用。</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auto"/>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D96EA4"/>
    <w:rsid w:val="11D96EA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2016-04-27T02:18:00Z</dcterms:created>
  <dc:creator>Administrator</dc:creator>
  <cp:lastModifiedBy>Administrator</cp:lastModifiedBy>
  <dcterms:modified xsi:type="dcterms:W3CDTF">2016-04-27T02:18:53Z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