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rPr>
          <w:rFonts w:hint="eastAsia" w:ascii="仿宋_GB2312" w:eastAsia="仿宋_GB2312"/>
          <w:b/>
          <w:szCs w:val="32"/>
        </w:rPr>
      </w:pPr>
      <w:r>
        <w:rPr>
          <w:rFonts w:hint="eastAsia" w:ascii="仿宋_GB2312" w:eastAsia="仿宋_GB2312"/>
          <w:b/>
          <w:szCs w:val="32"/>
        </w:rPr>
        <w:t>附件2</w:t>
      </w:r>
    </w:p>
    <w:p>
      <w:pPr>
        <w:snapToGrid w:val="0"/>
        <w:spacing w:line="660" w:lineRule="exact"/>
        <w:jc w:val="center"/>
        <w:rPr>
          <w:rFonts w:hint="eastAsia" w:ascii="新宋体" w:hAnsi="新宋体" w:eastAsia="新宋体"/>
          <w:b/>
          <w:sz w:val="44"/>
          <w:szCs w:val="44"/>
        </w:rPr>
      </w:pPr>
      <w:r>
        <w:rPr>
          <w:rFonts w:hint="eastAsia" w:ascii="新宋体" w:hAnsi="新宋体" w:eastAsia="新宋体"/>
          <w:b/>
          <w:sz w:val="44"/>
          <w:szCs w:val="44"/>
        </w:rPr>
        <w:t>体育彩票专管员岗位职责</w:t>
      </w:r>
    </w:p>
    <w:p>
      <w:pPr>
        <w:pStyle w:val="4"/>
        <w:snapToGrid w:val="0"/>
        <w:spacing w:line="560" w:lineRule="exact"/>
        <w:ind w:firstLine="552"/>
        <w:rPr>
          <w:rFonts w:hint="eastAsia" w:ascii="仿宋_GB2312" w:hAnsi="Times New Roman" w:eastAsia="仿宋_GB2312"/>
          <w:sz w:val="28"/>
          <w:szCs w:val="28"/>
        </w:rPr>
      </w:pP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1.在体彩分中心</w:t>
      </w:r>
      <w:bookmarkStart w:id="0" w:name="OLE_LINK2"/>
      <w:r>
        <w:rPr>
          <w:rFonts w:hint="eastAsia" w:ascii="仿宋_GB2312" w:hAnsi="Times New Roman" w:eastAsia="仿宋_GB2312"/>
          <w:sz w:val="28"/>
          <w:szCs w:val="28"/>
        </w:rPr>
        <w:t>及县体育局</w:t>
      </w:r>
      <w:bookmarkEnd w:id="0"/>
      <w:r>
        <w:rPr>
          <w:rFonts w:hint="eastAsia" w:ascii="仿宋_GB2312" w:hAnsi="Times New Roman" w:eastAsia="仿宋_GB2312"/>
          <w:sz w:val="28"/>
          <w:szCs w:val="28"/>
        </w:rPr>
        <w:t>的领导下，全面负责所辖片区内的</w:t>
      </w:r>
      <w:bookmarkStart w:id="1" w:name="OLE_LINK1"/>
      <w:r>
        <w:rPr>
          <w:rFonts w:hint="eastAsia" w:ascii="仿宋_GB2312" w:hAnsi="Times New Roman" w:eastAsia="仿宋_GB2312"/>
          <w:sz w:val="28"/>
          <w:szCs w:val="28"/>
        </w:rPr>
        <w:t>体育</w:t>
      </w:r>
      <w:bookmarkEnd w:id="1"/>
      <w:r>
        <w:rPr>
          <w:rFonts w:hint="eastAsia" w:ascii="仿宋_GB2312" w:hAnsi="Times New Roman" w:eastAsia="仿宋_GB2312"/>
          <w:sz w:val="28"/>
          <w:szCs w:val="28"/>
        </w:rPr>
        <w:t>彩票管理工作；落实分中心年度规划，完成分中心下达年销售目标任务及主要任务指标，接受分中心的工作和绩效考核。</w:t>
      </w: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2.按分中心工作规划和实施方案要求，不断开发所属片区体育彩票市场，拓展体育彩票销售实体渠道（体彩门店），增机扩点。</w:t>
      </w: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3.负责对所辖片区体彩门店的日常服务和管理工作。日常服务包括体彩门店报纸及各种宣传物料的配送、排除终端机故障、积极响应处理业主投诉、管理工作包括对门店业主的培训和政策宣讲、帮助敦促业主改善店内外软硬件条件和实现标准化经营为门店经营提供营销宣传方面的意见和建议，从而不断提升门店经营质量，实现规范经营，保障所辖片区体彩门店的安全规范运行。</w:t>
      </w: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4.负责贯彻落实省中心、分中心工作部署、决定及重要文件精神，定期向分中心及县体育局汇报所辖片区的体育彩票销售情况。</w:t>
      </w: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5.县级体彩专管员要负责协调好体育局、各职能部门的关系，为体彩门店创造良好的政策环境和经营环境。</w:t>
      </w: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6.建立门店档案、发挥监督职能，上报门店综合情况； 负责收集、整理、起草有关市场报告和材料并及上报分中心。</w:t>
      </w:r>
    </w:p>
    <w:p>
      <w:pPr>
        <w:pStyle w:val="4"/>
        <w:snapToGrid w:val="0"/>
        <w:spacing w:line="560" w:lineRule="exact"/>
        <w:ind w:firstLine="552"/>
        <w:rPr>
          <w:rFonts w:hint="eastAsia" w:ascii="仿宋_GB2312" w:hAnsi="Times New Roman" w:eastAsia="仿宋_GB2312"/>
          <w:sz w:val="28"/>
          <w:szCs w:val="28"/>
        </w:rPr>
      </w:pPr>
      <w:r>
        <w:rPr>
          <w:rFonts w:hint="eastAsia" w:ascii="仿宋_GB2312" w:hAnsi="Times New Roman" w:eastAsia="仿宋_GB2312"/>
          <w:sz w:val="28"/>
          <w:szCs w:val="28"/>
        </w:rPr>
        <w:t>7.对彩民投诉和咨询事宜进行疑难解答及处理，维护体育彩票形象；</w:t>
      </w:r>
      <w:r>
        <w:rPr>
          <w:rFonts w:hint="eastAsia" w:ascii="仿宋_GB2312" w:eastAsia="仿宋_GB2312"/>
          <w:sz w:val="28"/>
          <w:szCs w:val="28"/>
        </w:rPr>
        <w:t>完成分中心交给的其他工作。</w:t>
      </w:r>
    </w:p>
    <w:p>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D01B1"/>
    <w:rsid w:val="0C3D01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2016-04-25T09:37:00Z</dcterms:created>
  <dc:creator>Administrator</dc:creator>
  <cp:lastModifiedBy>Administrator</cp:lastModifiedBy>
  <dcterms:modified xsi:type="dcterms:W3CDTF">2016-04-25T09:37:24Z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