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pacing w:before="152" w:beforeAutospacing="0" w:after="0" w:afterAutospacing="0" w:line="480" w:lineRule="auto"/>
        <w:ind w:left="0" w:right="0" w:firstLine="442"/>
        <w:jc w:val="left"/>
      </w:pPr>
      <w:r>
        <w:rPr>
          <w:rFonts w:hint="eastAsia" w:ascii="宋体" w:hAnsi="宋体" w:eastAsia="宋体" w:cs="宋体"/>
          <w:b/>
          <w:color w:val="000000"/>
          <w:kern w:val="0"/>
          <w:sz w:val="22"/>
          <w:szCs w:val="22"/>
          <w:shd w:val="clear" w:fill="FFFFFF"/>
          <w:lang w:val="en-US" w:eastAsia="zh-CN" w:bidi="ar"/>
        </w:rPr>
        <w:t>招聘单位基本情况</w:t>
      </w:r>
    </w:p>
    <w:tbl>
      <w:tblPr>
        <w:tblW w:w="8359" w:type="dxa"/>
        <w:jc w:val="center"/>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616"/>
        <w:gridCol w:w="1322"/>
        <w:gridCol w:w="1911"/>
        <w:gridCol w:w="35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81" w:hRule="atLeast"/>
          <w:jc w:val="center"/>
        </w:trPr>
        <w:tc>
          <w:tcPr>
            <w:tcW w:w="1616" w:type="dxa"/>
            <w:tcBorders>
              <w:top w:val="single" w:color="auto" w:sz="8" w:space="0"/>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单位名称</w:t>
            </w:r>
          </w:p>
        </w:tc>
        <w:tc>
          <w:tcPr>
            <w:tcW w:w="1322" w:type="dxa"/>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单位性质</w:t>
            </w:r>
          </w:p>
        </w:tc>
        <w:tc>
          <w:tcPr>
            <w:tcW w:w="1911" w:type="dxa"/>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单位地址</w:t>
            </w:r>
          </w:p>
        </w:tc>
        <w:tc>
          <w:tcPr>
            <w:tcW w:w="3510" w:type="dxa"/>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主要职能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616"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四川省国防科技情报</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000000"/>
                <w:kern w:val="0"/>
                <w:sz w:val="22"/>
                <w:szCs w:val="22"/>
                <w:lang w:val="en-US" w:eastAsia="zh-CN" w:bidi="ar"/>
              </w:rPr>
              <w:t>研究所</w:t>
            </w:r>
          </w:p>
        </w:tc>
        <w:tc>
          <w:tcPr>
            <w:tcW w:w="1322"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firstLine="440"/>
              <w:jc w:val="center"/>
            </w:pPr>
            <w:r>
              <w:rPr>
                <w:rFonts w:hint="eastAsia" w:ascii="宋体" w:hAnsi="宋体" w:eastAsia="宋体" w:cs="宋体"/>
                <w:color w:val="000000"/>
                <w:kern w:val="0"/>
                <w:sz w:val="22"/>
                <w:szCs w:val="22"/>
                <w:lang w:val="en-US" w:eastAsia="zh-CN" w:bidi="ar"/>
              </w:rPr>
              <w:t>财政定额补助科研事业单位</w:t>
            </w:r>
          </w:p>
        </w:tc>
        <w:tc>
          <w:tcPr>
            <w:tcW w:w="191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firstLine="440"/>
              <w:jc w:val="center"/>
            </w:pPr>
            <w:r>
              <w:rPr>
                <w:rFonts w:hint="eastAsia" w:ascii="宋体" w:hAnsi="宋体" w:eastAsia="宋体" w:cs="宋体"/>
                <w:color w:val="000000"/>
                <w:kern w:val="0"/>
                <w:sz w:val="22"/>
                <w:szCs w:val="22"/>
                <w:lang w:val="en-US" w:eastAsia="zh-CN" w:bidi="ar"/>
              </w:rPr>
              <w:t>四川省成都市东华正街33号华顺大厦2楼</w:t>
            </w:r>
          </w:p>
        </w:tc>
        <w:tc>
          <w:tcPr>
            <w:tcW w:w="351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480" w:lineRule="auto"/>
              <w:ind w:left="0" w:right="0"/>
              <w:jc w:val="left"/>
            </w:pPr>
            <w:r>
              <w:rPr>
                <w:rFonts w:hint="eastAsia" w:ascii="宋体" w:hAnsi="宋体" w:eastAsia="宋体" w:cs="宋体"/>
                <w:color w:val="000000"/>
                <w:kern w:val="0"/>
                <w:sz w:val="22"/>
                <w:szCs w:val="22"/>
                <w:lang w:val="en-US" w:eastAsia="zh-CN" w:bidi="ar"/>
              </w:rPr>
              <w:t>组织管理协调全省及西南地区国防科技情报信息及成果转化工作，承担国防技术基础科研任务，提供在川武器装备科技信息服务、军民融合公共科技服务、国防科技工业政府管理支撑服务，承担省核事故应急指挥中心日常运行与核应急值班，负责高分辨对地观测系统四川数据与应用中心职能任务并为全省提供空间信息公益服务，完成国家和省交办的其他任务。</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D246C"/>
    <w:rsid w:val="12BD24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customStyle="1" w:styleId="5">
    <w:name w:val="red"/>
    <w:basedOn w:val="2"/>
    <w:uiPriority w:val="0"/>
    <w:rPr>
      <w:color w:val="FF0000"/>
    </w:rPr>
  </w:style>
  <w:style w:type="character" w:customStyle="1" w:styleId="6">
    <w:name w:val="red1"/>
    <w:basedOn w:val="2"/>
    <w:uiPriority w:val="0"/>
    <w:rPr>
      <w:b/>
      <w:color w:val="C81F1A"/>
    </w:rPr>
  </w:style>
  <w:style w:type="character" w:customStyle="1" w:styleId="7">
    <w:name w:val="red2"/>
    <w:basedOn w:val="2"/>
    <w:uiPriority w:val="0"/>
    <w:rPr>
      <w:b/>
      <w:color w:val="C81F1A"/>
    </w:rPr>
  </w:style>
  <w:style w:type="character" w:customStyle="1" w:styleId="8">
    <w:name w:val="red3"/>
    <w:basedOn w:val="2"/>
    <w:uiPriority w:val="0"/>
    <w:rPr>
      <w:color w:val="FF0000"/>
    </w:rPr>
  </w:style>
  <w:style w:type="character" w:customStyle="1" w:styleId="9">
    <w:name w:val="red4"/>
    <w:basedOn w:val="2"/>
    <w:uiPriority w:val="0"/>
    <w:rPr>
      <w:color w:val="FF0000"/>
    </w:rPr>
  </w:style>
  <w:style w:type="character" w:customStyle="1" w:styleId="10">
    <w:name w:val="red5"/>
    <w:basedOn w:val="2"/>
    <w:uiPriority w:val="0"/>
    <w:rPr>
      <w:color w:val="FF0000"/>
    </w:rPr>
  </w:style>
  <w:style w:type="character" w:customStyle="1" w:styleId="11">
    <w:name w:val="more"/>
    <w:basedOn w:val="2"/>
    <w:uiPriority w:val="0"/>
  </w:style>
  <w:style w:type="character" w:customStyle="1" w:styleId="12">
    <w:name w:val="more1"/>
    <w:basedOn w:val="2"/>
    <w:uiPriority w:val="0"/>
  </w:style>
  <w:style w:type="character" w:customStyle="1" w:styleId="13">
    <w:name w:val="right"/>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2016-04-26T10:53:00Z</dcterms:created>
  <dc:creator>Administrator</dc:creator>
  <cp:lastModifiedBy>Administrator</cp:lastModifiedBy>
  <dcterms:modified xsi:type="dcterms:W3CDTF">2016-04-26T10:56:59Z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