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left="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仿宋_GB2312"/>
          <w:bCs/>
          <w:sz w:val="44"/>
          <w:szCs w:val="36"/>
        </w:rPr>
      </w:pPr>
      <w:r>
        <w:rPr>
          <w:rFonts w:hint="eastAsia" w:ascii="黑体" w:hAnsi="黑体" w:eastAsia="黑体" w:cs="仿宋_GB2312"/>
          <w:bCs/>
          <w:sz w:val="44"/>
          <w:szCs w:val="36"/>
        </w:rPr>
        <w:t>平谷区公开选拔小学校长职位说明书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47"/>
        <w:gridCol w:w="1305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职位基本信息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职位名称</w:t>
            </w:r>
          </w:p>
        </w:tc>
        <w:tc>
          <w:tcPr>
            <w:tcW w:w="645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直接上级</w:t>
            </w:r>
          </w:p>
        </w:tc>
        <w:tc>
          <w:tcPr>
            <w:tcW w:w="6458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平谷区教育委员会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单位编号及名称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001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平谷区第二小学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002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平谷区第五小学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003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004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005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平谷区第八小学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006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平谷区放光中心小学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007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平谷区门楼中心小学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008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平谷区马坊中心小学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009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平谷区峪口中心小学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010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平谷区北扬桥中心小学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011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平谷区刘家店中心小学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012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平谷区马昌营中心小学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013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平谷区大华山中心小学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014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平谷区熊儿寨中心小学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015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平谷区山东庄中心小学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016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平谷区南独乐河中心小学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017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平谷区夏各庄中心小学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018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平谷区黄松峪中心小学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019</w:t>
            </w:r>
          </w:p>
        </w:tc>
        <w:tc>
          <w:tcPr>
            <w:tcW w:w="5153" w:type="dxa"/>
            <w:vAlign w:val="center"/>
          </w:tcPr>
          <w:p>
            <w:pPr>
              <w:spacing w:line="520" w:lineRule="exact"/>
              <w:ind w:hanging="1"/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平谷区镇罗营中心小学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020</w:t>
            </w:r>
          </w:p>
        </w:tc>
        <w:tc>
          <w:tcPr>
            <w:tcW w:w="515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平谷区靠山集中心小学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职位概述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00" w:lineRule="exact"/>
              <w:ind w:left="0" w:firstLine="480" w:firstLineChars="200"/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对上级教育部门承担管理学校（含学前教育，下同）的职责，对学校的教育教学和行政管理工作全面负责，统一领导。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职位职责</w:t>
            </w:r>
          </w:p>
        </w:tc>
        <w:tc>
          <w:tcPr>
            <w:tcW w:w="7705" w:type="dxa"/>
            <w:gridSpan w:val="3"/>
            <w:vAlign w:val="top"/>
          </w:tcPr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一、根据党的方针、政策和国家法律、法规及教育行政部门的要求，从本校实际出发，负责组织制定学校章程和发展规划，提出学校改革和发展的阶段目标和措施，并组织实施。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二、负责教师队伍建设，全面提高教师素质。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(一)组织制定教师队伍建设校本规划和年度培训计划，不断提高教师职业道德水准、文化业务水平和教育、科研能力。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(二)加强教师队伍管理，优化教师队伍，培养班主任、中青年教师和骨干教师。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(三)依靠学校党组织和工会、共青团等群众组织，共同做好教职工思想政治工作。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三、全面实施素质教育，为学生全面发展和学生终身发展奠定基础。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一)贯彻实施《中小学德育工作规程》，按照《中小学德育大纲(纲要)》和《北京市中小学德育整体化工作纲要》的要求，制定学校德育工作计划，建设学校德育骨干队伍，增强学校全员德育意识，加强校园文化建设，优化学校育人环境，构建全方位育人格局；加强爱国主义、集体主义和社会主义教育，加强中华民族优良传统、革命传统教育和法制教育、道德品质教育，并贯穿于教育的全过程；主动适应新形势要求，不断改进德育工作方法，大力开展社会实践和公益活动，通过课内外、校内外各种教育途径，切实增强德育工作的针对性、实效性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二)积极开展教育教学改革和教育科学研究。引导教师增强改革意识和创新意识，树立新课程理念，遵循学生的认知规律，积极开展研究性学习，培养学生的创新精神和实践能力；引导学生积极主动学习，鼓励合作学习，促进学生之间的相互交流和共同发展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三)认真贯彻《北京市中小学体育工作条例》和《北京市中小学卫生工作条例》，提高学生健康水平，增强学生体质。按照国家和北京市规定开设艺术课程，提高艺术教育质量；加强国防教育和科技教育，确保有效开展教育活动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(四)认真执行国家和北京市规定的课程标准和课程计划。遵循教学规律，深化教学改革，加强教学管理，开展教学研究；注重应用现代信息技术，不断提高教学质量。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四、建立健全财务规章制度，严格财务管理，合理编制预算；加强校产管理，搞好校园环境建设；关心学生和教职工的生活，不断改善办学条件和教职工待遇；确保校园安全与稳定等。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五、积极支持学校工会、共青团、少先队、学生会等群众组织和民主党派按照各自章程自主开展活动，为他们提供必要的条件和经费保障，发挥他们在办学和育人各项工作中的积极作用。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六、发挥学校教育的社会功能。积极参与社区教育活动，努力促进学校教育、家庭教育、社区教育活动的协调开展，营造良好的育人环境。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职位权限</w:t>
            </w:r>
          </w:p>
        </w:tc>
        <w:tc>
          <w:tcPr>
            <w:tcW w:w="7705" w:type="dxa"/>
            <w:gridSpan w:val="3"/>
            <w:vAlign w:val="top"/>
          </w:tcPr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一、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按照国家和上级教育行政部门有关法律、法规、规定，校长对学校的教育教学和行政工作进行决策和统一指挥。</w:t>
            </w:r>
          </w:p>
          <w:p>
            <w:pPr>
              <w:spacing w:line="400" w:lineRule="exact"/>
              <w:ind w:left="0"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二、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根据机构编制部门、区教委核定下达的编制和精简效能的原则，调整学校岗位的设置，提名副校长和中层干部。并按照干部管理权限、职数和程序，报上级主管部门审批。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三、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结合本校实际，制定学校内部劳动、人事、分配制度改革和教育教学改革方案，并组织实施。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四、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根据国家和市教育行政部门有关规定，制定学校的教学计划，优化课程设置，确定教学进度，组织教学活动，对教师和学生进行考核评价。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五、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按照有关规定和程序对工作成绩显著的教职工给予奖励；对严重违纪，给学校工作造成重大损失的教职工给予行政处分；对不胜任本职工作和拒绝接受工作调动、安排的教职工予以解聘或辞退；对教职工的重大奖励或行政处分要听取党组织和工会的意见，并按有关规定，报上级教育行政部门批准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六、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对财政拨款等各项收入以及设施、设备，按照财务制度和教育行政部门有关规定，依法依规，合理支配使用。</w:t>
            </w:r>
          </w:p>
          <w:p>
            <w:pPr>
              <w:spacing w:line="400" w:lineRule="exact"/>
              <w:ind w:firstLine="480" w:firstLineChars="200"/>
              <w:rPr>
                <w:rFonts w:ascii="华文仿宋" w:hAnsi="华文仿宋" w:eastAsia="华文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七、</w:t>
            </w:r>
            <w:r>
              <w:rPr>
                <w:rFonts w:hint="eastAsia" w:ascii="华文仿宋" w:hAnsi="华文仿宋" w:eastAsia="华文仿宋"/>
                <w:sz w:val="24"/>
                <w:szCs w:val="24"/>
                <w:shd w:val="clear" w:color="auto" w:fill="FFFFFF"/>
              </w:rPr>
              <w:t>行使国家和教育行政部门授予的其他职权。</w:t>
            </w:r>
          </w:p>
        </w:tc>
      </w:tr>
    </w:tbl>
    <w:p>
      <w:pPr>
        <w:spacing w:line="560" w:lineRule="exact"/>
        <w:rPr>
          <w:rFonts w:hint="eastAsia" w:ascii="黑体" w:hAnsi="黑体" w:eastAsia="黑体" w:cs="仿宋_GB2312"/>
          <w:bCs/>
          <w:sz w:val="44"/>
          <w:szCs w:val="36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7&#10;iIqptwEAAF4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F3BF2"/>
    <w:rsid w:val="1F4F3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5">
    <w:name w:val="Hyperlink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2016-05-12T01:51:00Z</dcterms:created>
  <dc:creator>PC</dc:creator>
  <cp:lastModifiedBy>PC</cp:lastModifiedBy>
  <dcterms:modified xsi:type="dcterms:W3CDTF">2016-05-12T01:52:18Z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