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 2016年西平县政府系统部分事业单位公开招聘工作人员领导小组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组  长：管保臣    县委常委、县政府常务副县长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成  员：孙彦民    县纪委副书记、监察局局长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李改峰    县政府办公室副主任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王恒清    县人社局局长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谢明建    县编委办公室主任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史春华    县文广新局局长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李  婕    县财政局局长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黄广有    县发改委主任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刘淑兰    县商务局局长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曹晓民    县食药监局局长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赵春霞    县民政局局长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张建伟    县委宣传部副部长、县广播电视台台长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领导小组下设办公室，负责公开招聘日常工作。办公室设在县人社局，办公室人员名单如下：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主  任：王恒清    县人社局局长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副主任：曹建华    县监察局副局长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秦书盈    县人社局党组副书记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蒋会凯    县人社局纪检组长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于广远    县编委办副主任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成  员：王国民    县文广新局副局长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申和平    县财政局党组副书记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郑  辉    县发改委副主任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谭  馨    县商务局党组副书记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杨雪静    县民政局副局长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赵严庚    县食药监局副主任科员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赵新华    县广播电视台副台长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赵永幸    县人社局公务员股股长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王彦平    县人事考试中心主任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刘秋梅    县编委办综合股股长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             刘金莲    县人社局职员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11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555555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555555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2016-07-06T09:51:17Z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