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ascii="黑体" w:hAnsi="宋体" w:eastAsia="黑体" w:cs="黑体"/>
        </w:rPr>
        <w:t>招聘岗位、人数、条件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80"/>
      </w:pPr>
      <w:r>
        <w:rPr>
          <w:rFonts w:ascii="仿宋_GB2312" w:eastAsia="仿宋_GB2312" w:cs="仿宋_GB2312"/>
        </w:rPr>
        <w:t>基本条件：身体健康，品行端正，无违法违纪记录。</w:t>
      </w:r>
      <w:r>
        <w:t xml:space="preserve"> </w:t>
      </w:r>
    </w:p>
    <w:tbl>
      <w:tblPr>
        <w:tblW w:w="6630" w:type="dxa"/>
        <w:jc w:val="center"/>
        <w:tblInd w:w="83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855"/>
        <w:gridCol w:w="4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岗位名称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招聘人数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岗位条件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产科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围产医学专业；全日制统招博士研究生，须取得学历和学位证书。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妇科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妇产科学专业；全日制统招博士研究生，须取得学历和学位证书。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肿瘤科（肿瘤临床与基础）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妇科肿瘤学专业；全日制统招博士研究生，须取得学历和学位证书。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肿瘤科（肿瘤放射治疗）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妇科肿瘤学专业; 全日制统招博士研究生，须取得学历和学位证书。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新生儿科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新生儿科、儿科学专业；全日制统招博士研究生，须取得学历和学位证书。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产前诊断中心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遗传学、分子生物学专业；全日制统招博士研究生，须取得学历和学位证书。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病理科 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病理学专业；全日制统招博士研究生，须取得学历和学位证书。硕士专业为病理学，本科专业为病理学或临床医学。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药剂科 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临床药学、药理学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全日制统招博士研究生，须取得学历和学位证书。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中医科 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中西医结合妇产科专业；全日制统招博士研究生，须取得学历和学位证书。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麻醉科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麻醉学专业；全日制统招博士研究生，须取得学历和学位证书。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辅助生殖中心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生殖医学专业；全日制统招博士研究生，须取得学历和学位证书。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生殖健康科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生殖内分泌学专业；全日制统招博士研究生，须取得学历和学位证书。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放射科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影像诊断学专业；全日制统招博士研究生，须取得学历和学位证书。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乳腺科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肿瘤外科学专业；全日制统招博士研究生，须取得学历和学位证书。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急诊科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急诊医学、重症医学专业；全日制统招博士研究生，须取得学历和学位证书。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529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2016-07-08T01:05:29Z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