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86" w:rsidRPr="00E34286" w:rsidRDefault="00E34286" w:rsidP="00E342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1"/>
        <w:gridCol w:w="1809"/>
        <w:gridCol w:w="1080"/>
        <w:gridCol w:w="2566"/>
        <w:gridCol w:w="1620"/>
      </w:tblGrid>
      <w:tr w:rsidR="00E34286" w:rsidRPr="00E34286" w:rsidTr="00E34286"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00" w:lineRule="atLeast"/>
              <w:ind w:firstLine="211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</w:tr>
      <w:tr w:rsidR="00E34286" w:rsidRPr="00E34286" w:rsidTr="00E34286"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亚热带农业研究所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果蔬加工、成分提取研究岗位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农产品加工及贮藏工程、食品工程、食品加工与安全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芳香植物功效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药物化学、药物分析学、药理学、药学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水稻研究所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二系稻研究室</w:t>
            </w:r>
          </w:p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生物化学与分子生物学、细胞生物学、基因组学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水稻中试研究室</w:t>
            </w:r>
          </w:p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作物遗传育种、作物栽培学与耕作学、遗传学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三系稻研究室</w:t>
            </w:r>
          </w:p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作物遗传育种、作物栽培与耕作学、遗传学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稻作技术研究室</w:t>
            </w:r>
          </w:p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农业机械化工程、农业工程、机械制造及其自动化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00" w:lineRule="atLeast"/>
              <w:ind w:firstLine="211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</w:tr>
      <w:tr w:rsidR="00E34286" w:rsidRPr="00E34286" w:rsidTr="00E34286"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茶叶研究所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茶叶生物技术实验室研究岗位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茶学、生物化学与分子生物学、分析化学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茶叶精深加工研究岗位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茶学、食品科学、食品加工与安全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会计岗位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会计（学）、财务管理、财务会计（教育）、会计（财务）电算化、会计与统计核算、会计与审计、国际会计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大学本科及以上学历、学士及以上学位</w:t>
            </w:r>
          </w:p>
        </w:tc>
      </w:tr>
      <w:tr w:rsidR="00E34286" w:rsidRPr="00E34286" w:rsidTr="00E34286"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植物保护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会计岗位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会计（学）、财务管理、财务会计（教育）、会计（财务）电算化、会计与统计核算、会计与审计、国际会计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大学本科及以上学历、学士及以上学位</w:t>
            </w:r>
          </w:p>
        </w:tc>
      </w:tr>
      <w:tr w:rsidR="00E34286" w:rsidRPr="00E34286" w:rsidTr="00E34286"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畜牧兽医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猪病研究室</w:t>
            </w:r>
          </w:p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预防兽医学、临床兽医学、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基础兽医学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工程中心</w:t>
            </w:r>
          </w:p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预防兽医学、临床兽医学、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基础兽医学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草食动物病研究室</w:t>
            </w:r>
          </w:p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预防兽医学、临床兽医学、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免疫学、微生物学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果树研究所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橄榄研究岗位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果树学、生物化学与分子生物学、生物学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果品保鲜与加工</w:t>
            </w:r>
            <w:r w:rsidRPr="00E34286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农产品加工及贮藏工程、果树学、食品科学与工程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热带亚热带</w:t>
            </w:r>
            <w:r w:rsidRPr="00E34286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果树学、种质资源学、生物化学与分子生物学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作物研究所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旱作物研究中心</w:t>
            </w:r>
          </w:p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农学、作物遗传育种、作物栽培学与耕作学、农业生物技术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蔬菜研究中心</w:t>
            </w:r>
            <w:r w:rsidRPr="00E34286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种质资源学、园艺学、蔬菜学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农业部植物新品种测试福州分中心</w:t>
            </w:r>
            <w:r w:rsidRPr="00E34286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蔬菜学、作物遗传育种、作物栽培学与耕作学、园林植物与观赏园艺、生物化学与分子生物学、细胞生物学、种业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土壤肥料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液态肥料工程化</w:t>
            </w:r>
          </w:p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植物营养学、土壤学、化学</w:t>
            </w:r>
          </w:p>
          <w:p w:rsidR="00E34286" w:rsidRPr="00E34286" w:rsidRDefault="00E34286" w:rsidP="00E34286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工程、化学工艺、发酵工程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生物技术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植物分子免疫</w:t>
            </w:r>
            <w:r w:rsidRPr="00E34286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遗传学、植物病理学、生物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化学与分子生物学、作物遗传育种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园艺植物生物技术研究室研究岗位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农业科技组织与服务、技术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经济及管理、设施农业科学与工程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农业经济与科技信息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农业经济研究岗位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农业经济管理、农村与区域发展、农业科技组织与服务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</w:tr>
      <w:tr w:rsidR="00E34286" w:rsidRPr="00E34286" w:rsidTr="00E34286"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农业质量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标准与检测技术研究所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农产品质</w:t>
            </w:r>
            <w:proofErr w:type="gramStart"/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量安全</w:t>
            </w:r>
            <w:proofErr w:type="gramEnd"/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分析化学、食品工程、有机化学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食用菌研究所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科研管理岗位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农学（农业资源利用方向）、蔬菜学（食用菌方向）、微生物学（食用菌方向）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科技干部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培训中心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智慧农业课题组</w:t>
            </w:r>
          </w:p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农业电气化与自动化、农业机械化工程、机械制造及其自动化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农业物联网</w:t>
            </w:r>
            <w:r w:rsidRPr="00E34286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农业电气化与自动化、信息与通信工程、农业机械化工程、农业工程、机械制造及其自动化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嵌入式系统</w:t>
            </w:r>
            <w:r w:rsidRPr="00E34286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</w: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开发岗位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机械电子工程、电路与系统、检测技术与自动化装置、模式识别与智能系统、计算机科学与技术、农业机械化、农业机械化工程、农业电气化与自动化、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研究生学历、</w:t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硕士及以上学位</w:t>
            </w:r>
          </w:p>
        </w:tc>
      </w:tr>
      <w:tr w:rsidR="00E34286" w:rsidRPr="00E34286" w:rsidTr="00E342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286" w:rsidRPr="00E34286" w:rsidRDefault="00E34286" w:rsidP="00E3428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42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会计（学）、财务管理、财务会计（教育）、会计（财务）电算化、会计与统计核算、会计与审计、国际会计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286" w:rsidRPr="00E34286" w:rsidRDefault="00E34286" w:rsidP="00E3428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34286">
              <w:rPr>
                <w:rFonts w:ascii="Arial" w:eastAsia="宋体" w:hAnsi="Arial" w:cs="Arial"/>
                <w:color w:val="000000"/>
                <w:kern w:val="0"/>
                <w:szCs w:val="21"/>
              </w:rPr>
              <w:t>大学本科及以上学历、学士及以上学位</w:t>
            </w:r>
          </w:p>
        </w:tc>
      </w:tr>
    </w:tbl>
    <w:p w:rsidR="008C5524" w:rsidRPr="00E34286" w:rsidRDefault="00B45320"/>
    <w:sectPr w:rsidR="008C5524" w:rsidRPr="00E34286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320" w:rsidRDefault="00B45320" w:rsidP="00E34286">
      <w:r>
        <w:separator/>
      </w:r>
    </w:p>
  </w:endnote>
  <w:endnote w:type="continuationSeparator" w:id="0">
    <w:p w:rsidR="00B45320" w:rsidRDefault="00B45320" w:rsidP="00E3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320" w:rsidRDefault="00B45320" w:rsidP="00E34286">
      <w:r>
        <w:separator/>
      </w:r>
    </w:p>
  </w:footnote>
  <w:footnote w:type="continuationSeparator" w:id="0">
    <w:p w:rsidR="00B45320" w:rsidRDefault="00B45320" w:rsidP="00E34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28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0B0B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320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86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2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286"/>
    <w:rPr>
      <w:sz w:val="18"/>
      <w:szCs w:val="18"/>
    </w:rPr>
  </w:style>
  <w:style w:type="paragraph" w:styleId="a5">
    <w:name w:val="Normal (Web)"/>
    <w:basedOn w:val="a"/>
    <w:uiPriority w:val="99"/>
    <w:unhideWhenUsed/>
    <w:rsid w:val="00E342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>微软中国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2016-07-07T03:53:00Z</dcterms:created>
  <dcterms:modified xsi:type="dcterms:W3CDTF">2016-07-07T03:53:00Z</dcterms:modified>
</cp:coreProperties>
</file>