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国家法官学院（最高人民法院司法案例研究院）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2017年招录应届高校毕业生岗位一览表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Style w:val="3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440"/>
        <w:gridCol w:w="1350"/>
        <w:gridCol w:w="4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招录</w:t>
            </w: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ind w:firstLine="120" w:firstLineChars="5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0" w:lineRule="auto"/>
              <w:ind w:firstLine="239" w:firstLineChars="9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业</w:t>
            </w: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学历学位</w:t>
            </w:r>
          </w:p>
        </w:tc>
        <w:tc>
          <w:tcPr>
            <w:tcW w:w="4830" w:type="dxa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 关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司法案例研究院研究岗位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ind w:firstLine="110" w:firstLineChars="50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民商法（或民事诉讼法）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博士研究生</w:t>
            </w:r>
          </w:p>
        </w:tc>
        <w:tc>
          <w:tcPr>
            <w:tcW w:w="4830" w:type="dxa"/>
            <w:vAlign w:val="top"/>
          </w:tcPr>
          <w:p>
            <w:pPr>
              <w:spacing w:line="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30周岁以下，至少在核心期刊发表2篇文章。对具有留学经历，取得德、法等外语学士以上学位的，适当优先考虑。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司法案例研究院研究岗位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刑法（或刑事诉讼法）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博士研究生</w:t>
            </w:r>
          </w:p>
        </w:tc>
        <w:tc>
          <w:tcPr>
            <w:tcW w:w="4830" w:type="dxa"/>
            <w:vAlign w:val="top"/>
          </w:tcPr>
          <w:p>
            <w:pPr>
              <w:spacing w:line="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30周岁以下，至少在核心期刊发表2篇文章。对具有留学经历，取得德、法等外语学士以上学位的，适当优先考虑。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司法案例研究院研究岗位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法理学（案例制度研究方向）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博士研究生</w:t>
            </w:r>
          </w:p>
        </w:tc>
        <w:tc>
          <w:tcPr>
            <w:tcW w:w="4830" w:type="dxa"/>
            <w:vAlign w:val="top"/>
          </w:tcPr>
          <w:p>
            <w:pPr>
              <w:spacing w:line="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30周岁以下，至少在核心期刊发表2篇文章。对具有留学经历，取得德、法等外语学士以上学位的，适当优先考虑。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法官学院管理岗位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ind w:firstLine="330" w:firstLineChars="15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法学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硕士研究生及以上</w:t>
            </w:r>
          </w:p>
        </w:tc>
        <w:tc>
          <w:tcPr>
            <w:tcW w:w="48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硕士研究生年龄在27周岁以下，博士研究生年龄在35周岁以下。</w:t>
            </w:r>
            <w:r>
              <w:rPr>
                <w:rFonts w:hint="eastAsia" w:ascii="宋体" w:hAnsi="宋体" w:cs="宋体"/>
                <w:kern w:val="0"/>
                <w:sz w:val="22"/>
              </w:rPr>
              <w:t>英语本科学历，具有海外留学经历，兼通法语、德语或西班牙语者优先考虑。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法官学院教师岗位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宪法与行政法学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硕士研究生及以上</w:t>
            </w:r>
          </w:p>
        </w:tc>
        <w:tc>
          <w:tcPr>
            <w:tcW w:w="48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硕士研究生年龄在27周岁以下，博士研究生年龄在35周岁以下。</w:t>
            </w:r>
            <w:r>
              <w:rPr>
                <w:rFonts w:hint="eastAsia" w:ascii="宋体" w:hAnsi="宋体" w:cs="宋体"/>
                <w:kern w:val="0"/>
                <w:sz w:val="22"/>
              </w:rPr>
              <w:t>法学本科学历，具有海外留学经历，兼通法语、德语或西班牙语者优先考虑。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0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法官学院管理岗位</w:t>
            </w:r>
          </w:p>
        </w:tc>
        <w:tc>
          <w:tcPr>
            <w:tcW w:w="72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1人</w:t>
            </w:r>
          </w:p>
        </w:tc>
        <w:tc>
          <w:tcPr>
            <w:tcW w:w="1440" w:type="dxa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会计学</w:t>
            </w:r>
          </w:p>
        </w:tc>
        <w:tc>
          <w:tcPr>
            <w:tcW w:w="1350" w:type="dxa"/>
            <w:vAlign w:val="top"/>
          </w:tcPr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60" w:lineRule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硕士研究生及以上</w:t>
            </w:r>
          </w:p>
        </w:tc>
        <w:tc>
          <w:tcPr>
            <w:tcW w:w="48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硕士研究生年龄在27周岁以下，博士研究生年龄在35周岁以下。</w:t>
            </w:r>
            <w:r>
              <w:rPr>
                <w:rFonts w:hint="eastAsia" w:ascii="宋体" w:hAnsi="宋体" w:cs="宋体"/>
                <w:kern w:val="0"/>
                <w:sz w:val="22"/>
              </w:rPr>
              <w:t>会计本科学历，具有海外留学经历，兼通法语、德语或西班牙语者优先考虑。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6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李鑫</dc:creator>
  <cp:lastModifiedBy>李鑫</cp:lastModifiedBy>
  <dcterms:modified xsi:type="dcterms:W3CDTF">2017-04-26T09:54:26Z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