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  <w:t>青高科公司5月31日招聘录取情况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根据青岛市国有企业公开招聘平台的规定及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青岛高科产业发展有限公司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对录用人员的有关要求，经过简历筛选、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面试等程序，本次计划招聘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人，拟录用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人，现予以公示。</w:t>
      </w:r>
    </w:p>
    <w:tbl>
      <w:tblPr>
        <w:tblStyle w:val="6"/>
        <w:tblpPr w:leftFromText="180" w:rightFromText="180" w:vertAnchor="text" w:horzAnchor="page" w:tblpX="703" w:tblpY="330"/>
        <w:tblOverlap w:val="never"/>
        <w:tblW w:w="15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50"/>
        <w:gridCol w:w="866"/>
        <w:gridCol w:w="1467"/>
        <w:gridCol w:w="2433"/>
        <w:gridCol w:w="2384"/>
        <w:gridCol w:w="1683"/>
        <w:gridCol w:w="833"/>
        <w:gridCol w:w="2300"/>
        <w:gridCol w:w="834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24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68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3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83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曹天服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67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工程管理部</w:t>
            </w:r>
          </w:p>
        </w:tc>
        <w:tc>
          <w:tcPr>
            <w:tcW w:w="24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总监</w:t>
            </w:r>
          </w:p>
        </w:tc>
        <w:tc>
          <w:tcPr>
            <w:tcW w:w="238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工业与民用建筑</w:t>
            </w:r>
          </w:p>
        </w:tc>
        <w:tc>
          <w:tcPr>
            <w:tcW w:w="168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郑州工学院</w:t>
            </w:r>
          </w:p>
        </w:tc>
        <w:tc>
          <w:tcPr>
            <w:tcW w:w="83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0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高级工程师，党员</w:t>
            </w:r>
          </w:p>
        </w:tc>
        <w:tc>
          <w:tcPr>
            <w:tcW w:w="834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75.6</w:t>
            </w:r>
          </w:p>
        </w:tc>
        <w:tc>
          <w:tcPr>
            <w:tcW w:w="95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第一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杨杰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67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工程管理部</w:t>
            </w:r>
          </w:p>
        </w:tc>
        <w:tc>
          <w:tcPr>
            <w:tcW w:w="24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副总监</w:t>
            </w:r>
          </w:p>
        </w:tc>
        <w:tc>
          <w:tcPr>
            <w:tcW w:w="238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建筑工程</w:t>
            </w:r>
          </w:p>
        </w:tc>
        <w:tc>
          <w:tcPr>
            <w:tcW w:w="168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江苏科技大学</w:t>
            </w:r>
          </w:p>
        </w:tc>
        <w:tc>
          <w:tcPr>
            <w:tcW w:w="83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0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高级工程师，党员</w:t>
            </w:r>
          </w:p>
        </w:tc>
        <w:tc>
          <w:tcPr>
            <w:tcW w:w="834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67.2</w:t>
            </w:r>
          </w:p>
        </w:tc>
        <w:tc>
          <w:tcPr>
            <w:tcW w:w="95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第一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赵健雄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67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工程管理部</w:t>
            </w:r>
          </w:p>
        </w:tc>
        <w:tc>
          <w:tcPr>
            <w:tcW w:w="24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给排水监理</w:t>
            </w:r>
          </w:p>
        </w:tc>
        <w:tc>
          <w:tcPr>
            <w:tcW w:w="238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建筑环境与设备工程</w:t>
            </w:r>
          </w:p>
        </w:tc>
        <w:tc>
          <w:tcPr>
            <w:tcW w:w="168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兰州理工大学</w:t>
            </w:r>
          </w:p>
        </w:tc>
        <w:tc>
          <w:tcPr>
            <w:tcW w:w="83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0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834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82.48</w:t>
            </w:r>
          </w:p>
        </w:tc>
        <w:tc>
          <w:tcPr>
            <w:tcW w:w="95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第一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孙彩凤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67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工程管理部</w:t>
            </w:r>
          </w:p>
        </w:tc>
        <w:tc>
          <w:tcPr>
            <w:tcW w:w="24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工程档案管理</w:t>
            </w:r>
          </w:p>
        </w:tc>
        <w:tc>
          <w:tcPr>
            <w:tcW w:w="238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国际工程项目管理</w:t>
            </w:r>
          </w:p>
        </w:tc>
        <w:tc>
          <w:tcPr>
            <w:tcW w:w="168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青岛理工大学</w:t>
            </w:r>
          </w:p>
        </w:tc>
        <w:tc>
          <w:tcPr>
            <w:tcW w:w="83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0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中级工程师，党员</w:t>
            </w:r>
          </w:p>
        </w:tc>
        <w:tc>
          <w:tcPr>
            <w:tcW w:w="834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68.58</w:t>
            </w:r>
          </w:p>
        </w:tc>
        <w:tc>
          <w:tcPr>
            <w:tcW w:w="95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第一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胡岩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67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资金财务部</w:t>
            </w:r>
          </w:p>
        </w:tc>
        <w:tc>
          <w:tcPr>
            <w:tcW w:w="243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会计核算与财务分析</w:t>
            </w:r>
          </w:p>
        </w:tc>
        <w:tc>
          <w:tcPr>
            <w:tcW w:w="238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财务会计</w:t>
            </w:r>
          </w:p>
        </w:tc>
        <w:tc>
          <w:tcPr>
            <w:tcW w:w="168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青岛化工学院</w:t>
            </w:r>
          </w:p>
        </w:tc>
        <w:tc>
          <w:tcPr>
            <w:tcW w:w="83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00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中级会计职称</w:t>
            </w:r>
          </w:p>
        </w:tc>
        <w:tc>
          <w:tcPr>
            <w:tcW w:w="834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63.36</w:t>
            </w:r>
          </w:p>
        </w:tc>
        <w:tc>
          <w:tcPr>
            <w:tcW w:w="95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第一</w:t>
            </w: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黑体">
    <w:panose1 w:val="02010600030101010101"/>
    <w:charset w:val="88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简美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dobeSongStd-Light-Acro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Grand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瀹嬩綋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D0D4C"/>
    <w:rsid w:val="029C7F8E"/>
    <w:rsid w:val="0339116F"/>
    <w:rsid w:val="043041FF"/>
    <w:rsid w:val="07772B7E"/>
    <w:rsid w:val="084543F1"/>
    <w:rsid w:val="0C93734B"/>
    <w:rsid w:val="1324638C"/>
    <w:rsid w:val="24A31F1A"/>
    <w:rsid w:val="2BF26BC0"/>
    <w:rsid w:val="2FE7191D"/>
    <w:rsid w:val="30167C72"/>
    <w:rsid w:val="3C9132EC"/>
    <w:rsid w:val="4D705AA1"/>
    <w:rsid w:val="4E1363C7"/>
    <w:rsid w:val="503C73B4"/>
    <w:rsid w:val="527271F9"/>
    <w:rsid w:val="55400A38"/>
    <w:rsid w:val="5FAE0905"/>
    <w:rsid w:val="6D4D3C19"/>
    <w:rsid w:val="6F532E43"/>
    <w:rsid w:val="766D0D4C"/>
    <w:rsid w:val="7A690872"/>
    <w:rsid w:val="7C685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2017-07-18T06:15:00Z</dcterms:created>
  <dc:creator>Administrator</dc:creator>
  <cp:lastModifiedBy>Administrator</cp:lastModifiedBy>
  <dcterms:modified xsi:type="dcterms:W3CDTF">2017-07-19T01:28:48Z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