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wordWrap w:val="0"/>
        <w:snapToGrid w:val="0"/>
        <w:spacing w:before="0" w:beforeAutospacing="0" w:after="0" w:afterAutospacing="0" w:line="330" w:lineRule="atLeast"/>
        <w:ind w:left="0" w:right="0"/>
        <w:jc w:val="center"/>
      </w:pPr>
      <w:r>
        <w:rPr>
          <w:rFonts w:ascii="微软雅黑" w:hAnsi="微软雅黑" w:eastAsia="微软雅黑" w:cs="微软雅黑"/>
          <w:color w:val="333333"/>
          <w:sz w:val="21"/>
          <w:szCs w:val="21"/>
          <w:lang w:val="en-US"/>
        </w:rPr>
        <w:t>2017</w:t>
      </w:r>
      <w:r>
        <w:rPr>
          <w:rFonts w:hint="eastAsia" w:ascii="微软雅黑" w:hAnsi="微软雅黑" w:eastAsia="微软雅黑" w:cs="微软雅黑"/>
          <w:snapToGrid w:val="0"/>
          <w:color w:val="333333"/>
          <w:sz w:val="21"/>
          <w:szCs w:val="21"/>
        </w:rPr>
        <w:t>年福建船政交通职业学院公开招聘岗位信息表</w:t>
      </w:r>
    </w:p>
    <w:tbl>
      <w:tblPr>
        <w:tblW w:w="9364" w:type="dxa"/>
        <w:tblInd w:w="9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577"/>
        <w:gridCol w:w="754"/>
        <w:gridCol w:w="878"/>
        <w:gridCol w:w="638"/>
        <w:gridCol w:w="2075"/>
        <w:gridCol w:w="1750"/>
        <w:gridCol w:w="1701"/>
        <w:gridCol w:w="9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40" w:hRule="atLeast"/>
        </w:trPr>
        <w:tc>
          <w:tcPr>
            <w:tcW w:w="57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ascii="仿宋_GB2312" w:hAnsi="微软雅黑" w:eastAsia="仿宋_GB2312" w:cs="仿宋_GB2312"/>
                <w:color w:val="333333"/>
                <w:kern w:val="0"/>
                <w:sz w:val="24"/>
                <w:szCs w:val="24"/>
                <w:bdr w:val="none" w:color="auto" w:sz="0" w:space="0"/>
                <w:lang w:val="en-US" w:eastAsia="zh-CN" w:bidi="ar"/>
              </w:rPr>
              <w:t>岗位代码</w:t>
            </w:r>
          </w:p>
        </w:tc>
        <w:tc>
          <w:tcPr>
            <w:tcW w:w="754"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招聘部门</w:t>
            </w:r>
          </w:p>
        </w:tc>
        <w:tc>
          <w:tcPr>
            <w:tcW w:w="87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招聘岗位</w:t>
            </w:r>
          </w:p>
        </w:tc>
        <w:tc>
          <w:tcPr>
            <w:tcW w:w="638"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招聘人数</w:t>
            </w:r>
          </w:p>
        </w:tc>
        <w:tc>
          <w:tcPr>
            <w:tcW w:w="207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专业</w:t>
            </w:r>
          </w:p>
        </w:tc>
        <w:tc>
          <w:tcPr>
            <w:tcW w:w="175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学历学位</w:t>
            </w:r>
          </w:p>
        </w:tc>
        <w:tc>
          <w:tcPr>
            <w:tcW w:w="170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其他要求</w:t>
            </w:r>
          </w:p>
        </w:tc>
        <w:tc>
          <w:tcPr>
            <w:tcW w:w="99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01</w:t>
            </w:r>
          </w:p>
        </w:tc>
        <w:tc>
          <w:tcPr>
            <w:tcW w:w="7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道路工程系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测绘类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02</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道路与铁道工程、交通运输工程（道路与铁道工程方向）、建筑与土木工程（道路与铁道工程方向）、桥梁与隧道工程（地下铁道与轻轨工程结构理论方向）</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03</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岩土工程、结构工程、桥梁与隧道工程</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04</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建筑工程系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建筑技术科学、建筑学(建筑技术科学方向)、城市规划、美术（学）、艺术设计（学）</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1740"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05</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航海技术系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left"/>
            </w:pPr>
            <w:r>
              <w:rPr>
                <w:rFonts w:hint="default" w:ascii="仿宋_GB2312" w:hAnsi="微软雅黑" w:eastAsia="仿宋_GB2312" w:cs="仿宋_GB2312"/>
                <w:color w:val="333333"/>
                <w:kern w:val="0"/>
                <w:sz w:val="24"/>
                <w:szCs w:val="24"/>
                <w:bdr w:val="none" w:color="auto" w:sz="0" w:space="0"/>
                <w:lang w:val="en-US" w:eastAsia="zh-CN" w:bidi="ar"/>
              </w:rPr>
              <w:t>载运工具运用工程、交通运输规划与管理、交通运输工程（载运工具运用工程方向）、交通运输工程（交通运输规划与管理方向）</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该岗位主要承担航海技术专业的理论及实践教学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06</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轮机工程系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海洋工程类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07</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机械工程系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电气自动化类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08</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汽车运用工程系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车辆工程、机械工程（车辆工程方向）、汽车运用工程、汽车电子工程</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09</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公共教学部</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 xml:space="preserve">语言学及应用语言学、中国现当代文学、中国古典文献学 </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10</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管理工程系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专任教师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电子商务、工商管理（电子商务方向）、情报学、图书情报</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该岗位主要从事电子商务和商务情报信息分析的课程教学</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11</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安全技术与环境工程系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环境生态类、食品科学与工程类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12</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道路工程系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交通运输、交通工程、土木工程、结构工程、市政工程、桥梁与隧道工程</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13</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管理工程系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电子商务、国际商务、电子商务及法律、工商管理（电子商务方向）</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具有与岗位相关的非教师系列中级及以上专业技术任职资格或技师（二级技术等级）及以上职（执）业资格或电子商务师（中级及以上）职业资格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14</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轮机工程系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海洋工程类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15</w:t>
            </w:r>
          </w:p>
        </w:tc>
        <w:tc>
          <w:tcPr>
            <w:tcW w:w="7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机械工程系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电气自动化类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16</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机械（设计）制造及其自动化、机械设计及理论、机械电子工程、材料学、材料加工工程、材料成型及控制工程</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17</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 xml:space="preserve">机械类 </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211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18</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汽车运用工程系</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实训指导教师</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车辆工程、机械工程（车辆工程方向）、汽车服务工程、汽车维修工程教育、交通管理（工程）、</w:t>
            </w:r>
            <w:r>
              <w:rPr>
                <w:rFonts w:hint="default" w:ascii="仿宋_GB2312" w:hAnsi="微软雅黑" w:eastAsia="仿宋_GB2312" w:cs="仿宋_GB2312"/>
                <w:color w:val="000000"/>
                <w:kern w:val="0"/>
                <w:sz w:val="24"/>
                <w:szCs w:val="24"/>
                <w:bdr w:val="none" w:color="auto" w:sz="0" w:space="0"/>
                <w:lang w:val="en-US" w:eastAsia="zh-CN" w:bidi="ar"/>
              </w:rPr>
              <w:t>安全防范工程、工程管理、信息管理与信息系统</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19</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公共教学部</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国家普通话水平等级测试站工作人员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语言学及应用语言学、汉语言文（字）学、中国现当代文学、播音与主持艺术、录音艺术</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全日制普通高等院校本科及以上学历、学士及以上学位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1"/>
                <w:szCs w:val="21"/>
                <w:bdr w:val="none" w:color="auto" w:sz="0" w:space="0"/>
                <w:lang w:val="en-US" w:eastAsia="zh-CN" w:bidi="ar"/>
              </w:rPr>
              <w:t>具有与岗位相关的非教师系列中级及以上专业技术任职资格或技师（二级技术等级）及以上职（执）业资格</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20</w:t>
            </w:r>
          </w:p>
        </w:tc>
        <w:tc>
          <w:tcPr>
            <w:tcW w:w="7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行政办公室</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文字秘书</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中国语言文学类、新闻传播学类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21</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管理人员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公共管理类、计算机科学与技术类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本科及以上学历专业或硕士及以上学位专业与岗位要求的专业相符均可</w:t>
            </w:r>
            <w:r>
              <w:rPr>
                <w:rFonts w:hint="eastAsia" w:ascii="宋体" w:hAnsi="宋体" w:eastAsia="宋体" w:cs="宋体"/>
                <w:color w:val="333333"/>
                <w:kern w:val="0"/>
                <w:sz w:val="24"/>
                <w:szCs w:val="24"/>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22</w:t>
            </w:r>
          </w:p>
        </w:tc>
        <w:tc>
          <w:tcPr>
            <w:tcW w:w="7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后勤管理处</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工程技术人员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土建类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23</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水电工程人员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 xml:space="preserve">水利类 </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24</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医务人员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 xml:space="preserve">临床医学类 </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25</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食品卫生管理人员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食品科学与工程类 、预防医学类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26</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财务处</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会计人员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财务会计（教育）、会计（学）、会计硕士、审计（学）、会计与审计、财务管理</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27</w:t>
            </w:r>
          </w:p>
        </w:tc>
        <w:tc>
          <w:tcPr>
            <w:tcW w:w="75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图书馆</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图书管理员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图书档案学类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991"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28</w:t>
            </w:r>
          </w:p>
        </w:tc>
        <w:tc>
          <w:tcPr>
            <w:tcW w:w="754"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学生处</w:t>
            </w: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辅导员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5</w:t>
            </w:r>
          </w:p>
        </w:tc>
        <w:tc>
          <w:tcPr>
            <w:tcW w:w="207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军事学类、交通运输综合管理类、心理学类、土建类、 海洋工程类、机械 类 、教育学类、法学类</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 xml:space="preserve">男性 </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需入住男生宿舍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29</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辅导员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4</w:t>
            </w:r>
          </w:p>
        </w:tc>
        <w:tc>
          <w:tcPr>
            <w:tcW w:w="207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全日制普通高等院校研究生学历、硕士及以上学位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女性</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需入住女生宿舍</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855" w:hRule="atLeast"/>
        </w:trPr>
        <w:tc>
          <w:tcPr>
            <w:tcW w:w="577"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30</w:t>
            </w:r>
          </w:p>
        </w:tc>
        <w:tc>
          <w:tcPr>
            <w:tcW w:w="754"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21"/>
                <w:szCs w:val="21"/>
              </w:rPr>
            </w:pPr>
          </w:p>
        </w:tc>
        <w:tc>
          <w:tcPr>
            <w:tcW w:w="87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辅导员</w:t>
            </w:r>
          </w:p>
        </w:tc>
        <w:tc>
          <w:tcPr>
            <w:tcW w:w="63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1</w:t>
            </w:r>
          </w:p>
        </w:tc>
        <w:tc>
          <w:tcPr>
            <w:tcW w:w="207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不限</w:t>
            </w:r>
          </w:p>
        </w:tc>
        <w:tc>
          <w:tcPr>
            <w:tcW w:w="175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全日制普通高等院校本科及以上学历、硕士及以上学位</w:t>
            </w:r>
          </w:p>
        </w:tc>
        <w:tc>
          <w:tcPr>
            <w:tcW w:w="17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中共党员</w:t>
            </w:r>
          </w:p>
        </w:tc>
        <w:tc>
          <w:tcPr>
            <w:tcW w:w="99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center"/>
            </w:pPr>
            <w:r>
              <w:rPr>
                <w:rFonts w:hint="default" w:ascii="仿宋_GB2312" w:hAnsi="微软雅黑" w:eastAsia="仿宋_GB2312" w:cs="仿宋_GB2312"/>
                <w:color w:val="333333"/>
                <w:kern w:val="0"/>
                <w:sz w:val="24"/>
                <w:szCs w:val="24"/>
                <w:bdr w:val="none" w:color="auto" w:sz="0" w:space="0"/>
                <w:lang w:val="en-US" w:eastAsia="zh-CN" w:bidi="ar"/>
              </w:rPr>
              <w:t>需入住宿舍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7C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Emphasis"/>
    <w:basedOn w:val="3"/>
    <w:qFormat/>
    <w:uiPriority w:val="0"/>
  </w:style>
  <w:style w:type="character" w:styleId="6">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2017-08-01T09:03:14Z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