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104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576"/>
        <w:gridCol w:w="690"/>
        <w:gridCol w:w="793"/>
        <w:gridCol w:w="617"/>
        <w:gridCol w:w="583"/>
        <w:gridCol w:w="915"/>
        <w:gridCol w:w="1249"/>
        <w:gridCol w:w="1395"/>
        <w:gridCol w:w="783"/>
        <w:gridCol w:w="1201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Header/>
        </w:trPr>
        <w:tc>
          <w:tcPr>
            <w:tcW w:w="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主管部门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招聘单位</w:t>
            </w:r>
          </w:p>
        </w:tc>
        <w:tc>
          <w:tcPr>
            <w:tcW w:w="7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岗位名称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计划数</w:t>
            </w:r>
          </w:p>
        </w:tc>
        <w:tc>
          <w:tcPr>
            <w:tcW w:w="58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开考比例</w:t>
            </w:r>
          </w:p>
        </w:tc>
        <w:tc>
          <w:tcPr>
            <w:tcW w:w="43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招聘条件</w:t>
            </w:r>
          </w:p>
        </w:tc>
        <w:tc>
          <w:tcPr>
            <w:tcW w:w="120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通过资格审核人数</w:t>
            </w:r>
          </w:p>
        </w:tc>
        <w:tc>
          <w:tcPr>
            <w:tcW w:w="90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核减后招聘人数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Header/>
        </w:trPr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名 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经费来源</w:t>
            </w:r>
          </w:p>
        </w:tc>
        <w:tc>
          <w:tcPr>
            <w:tcW w:w="7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学历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其他条件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</w:rPr>
              <w:t>招聘对象</w:t>
            </w:r>
          </w:p>
        </w:tc>
        <w:tc>
          <w:tcPr>
            <w:tcW w:w="12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市城乡建设局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市自来水有限公司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国有企业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水质检测化验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1:3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本科及以上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专业不限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有一年及以上水质化验、检测、分析工作经历，有三级及以上化学检验工、水质检验工、分析工职业资格证书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人员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计算机软件维护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1:3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研究生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计算机系统结构、计算机应用技术、系统工程、计算机技术、计算机软件与理论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不限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bookmarkStart w:id="0" w:name="_GoBack"/>
      <w:r>
        <w:t> </w:t>
      </w:r>
    </w:p>
    <w:bookmarkEnd w:id="0"/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2017-08-16T05:31:16Z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