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佛山市南海区政务管理办公室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sz w:val="36"/>
          <w:szCs w:val="32"/>
        </w:rPr>
        <w:t>辅助工作人员职位表</w:t>
      </w:r>
    </w:p>
    <w:tbl>
      <w:tblPr>
        <w:tblStyle w:val="8"/>
        <w:tblW w:w="14482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308"/>
        <w:gridCol w:w="1896"/>
        <w:gridCol w:w="828"/>
        <w:gridCol w:w="792"/>
        <w:gridCol w:w="1517"/>
        <w:gridCol w:w="1418"/>
        <w:gridCol w:w="1781"/>
        <w:gridCol w:w="135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佛山市南海区政务管理办公室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综合窗口工作人员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负责综合窗口服务工作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51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全日制本科或以上</w:t>
            </w:r>
          </w:p>
        </w:tc>
        <w:tc>
          <w:tcPr>
            <w:tcW w:w="141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学士学位或以上</w:t>
            </w:r>
          </w:p>
        </w:tc>
        <w:tc>
          <w:tcPr>
            <w:tcW w:w="178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有三年以上工作经验及有机关事业单位工作经历（时间不限）。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2.普、粤语标准优先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  <w:p>
            <w:pPr>
              <w:shd w:val="solid" w:color="FFFFFF" w:fill="auto"/>
              <w:autoSpaceDN w:val="0"/>
              <w:snapToGrid w:val="0"/>
              <w:spacing w:line="340" w:lineRule="atLeast"/>
              <w:rPr>
                <w:rFonts w:hint="eastAsia" w:ascii="仿宋" w:hAnsi="仿宋" w:eastAsia="仿宋" w:cs="仿宋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约7.3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工作年限计算截止时间为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2017年8月25日；③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8CA6"/>
    <w:multiLevelType w:val="singleLevel"/>
    <w:tmpl w:val="599E8CA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0FB6"/>
    <w:rsid w:val="650E0F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2017-08-25T03:05:00Z</dcterms:created>
  <dc:creator>未定义</dc:creator>
  <cp:lastModifiedBy>未定义</cp:lastModifiedBy>
  <dcterms:modified xsi:type="dcterms:W3CDTF">2017-08-25T03:06:16Z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