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604"/>
        <w:gridCol w:w="516"/>
        <w:gridCol w:w="341"/>
        <w:gridCol w:w="953"/>
        <w:gridCol w:w="429"/>
        <w:gridCol w:w="604"/>
        <w:gridCol w:w="1828"/>
        <w:gridCol w:w="429"/>
        <w:gridCol w:w="953"/>
        <w:gridCol w:w="11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ascii="新宋体" w:hAnsi="新宋体" w:eastAsia="新宋体" w:cs="新宋体"/>
                <w:b/>
                <w:color w:val="000000"/>
                <w:sz w:val="18"/>
                <w:szCs w:val="18"/>
              </w:rPr>
              <w:t>岗位代码</w:t>
            </w:r>
            <w:r>
              <w:rPr>
                <w:rFonts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具体用人单位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岗位名称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招聘人数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最低学历（学位）要求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最大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年龄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专业要求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其他条件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sz w:val="18"/>
                <w:szCs w:val="18"/>
              </w:rPr>
              <w:t>面试形式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薪酬待遇（年收入，均含五险税前）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sz w:val="18"/>
                <w:szCs w:val="18"/>
              </w:rPr>
              <w:t>备注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17009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高县财政局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投资评审中心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2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45周岁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土木工程、工程造价、工程管理、给排水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须熟练操作各行业计价软件及斯维尔或广联达算量软件，熟悉工程全过程造价管理，且具有下列条件之一，并有5年及以上相关工作经历：</w:t>
            </w: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1、具有全国造价工程师执业资格；</w:t>
            </w: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2、具有全国造价员（审核）执业资格且取得建筑类中级及以上职称。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专业技能测试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造价工程师：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基本工资11万；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绩效考核6万。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造价员（审核）且具中级以上职称：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基本工资7万；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绩效考核4万。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</w:rPr>
              <w:t>　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B3A4"/>
    <w:multiLevelType w:val="multilevel"/>
    <w:tmpl w:val="59A6B3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B6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2017-08-30T12:44:28Z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