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52" w:beforeAutospacing="0" w:after="200" w:afterAutospacing="0" w:line="326" w:lineRule="atLeast"/>
        <w:ind w:left="250" w:right="250"/>
        <w:jc w:val="left"/>
        <w:rPr>
          <w:sz w:val="20"/>
          <w:szCs w:val="20"/>
        </w:rPr>
      </w:pPr>
      <w:bookmarkStart w:id="0" w:name="_GoBack"/>
      <w:r>
        <w:rPr>
          <w:rStyle w:val="5"/>
          <w:rFonts w:hint="eastAsia" w:ascii="宋体" w:hAnsi="宋体" w:eastAsia="宋体" w:cs="宋体"/>
          <w:sz w:val="20"/>
          <w:szCs w:val="20"/>
          <w:shd w:val="clear" w:fill="FFFFFF"/>
        </w:rPr>
        <w:t>考核招聘岗位、人数及要求</w:t>
      </w:r>
    </w:p>
    <w:bookmarkEnd w:id="0"/>
    <w:tbl>
      <w:tblPr>
        <w:tblW w:w="7037" w:type="dxa"/>
        <w:jc w:val="center"/>
        <w:tblInd w:w="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610"/>
        <w:gridCol w:w="609"/>
        <w:gridCol w:w="458"/>
        <w:gridCol w:w="2400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招聘部门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拟聘岗位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职位编号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招聘专业及研究方向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哲学教研部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马克思主义哲学、外国哲学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科学社会主义教研部（政治学教研部）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科学社会主义与国际共产主义运动、马克思主义基本原理、马克思主义发展史、马克思主义中国化研究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党史党建教研部    （党性教育研究中心）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中共党史（含党的学说与党的建设）、思想政治教育 、马克思主义中国化研究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“5.12”汶川地震灾害应对研究与培训中心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期刊社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编辑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政治学理论、马克思主义基本原理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博士研究生学历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并取得博士学位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0236"/>
    <w:rsid w:val="7B6C0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2017-10-17T06:28:00Z</dcterms:created>
  <dc:creator>ASUS</dc:creator>
  <cp:lastModifiedBy>ASUS</cp:lastModifiedBy>
  <dcterms:modified xsi:type="dcterms:W3CDTF">2017-10-17T06:28:35Z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