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贵州黄果树湿地公园投资管理有限公司</w:t>
      </w:r>
      <w:r>
        <w:rPr>
          <w:rStyle w:val="4"/>
          <w:rFonts w:hint="default" w:ascii="仿宋" w:hAnsi="仿宋" w:eastAsia="仿宋" w:cs="仿宋"/>
          <w:i w:val="0"/>
          <w:caps w:val="0"/>
          <w:color w:val="3E3E3E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default" w:ascii="仿宋" w:hAnsi="仿宋" w:eastAsia="仿宋" w:cs="仿宋"/>
          <w:i w:val="0"/>
          <w:caps w:val="0"/>
          <w:color w:val="3E3E3E"/>
          <w:spacing w:val="0"/>
          <w:sz w:val="31"/>
          <w:szCs w:val="31"/>
          <w:u w:val="none"/>
          <w:bdr w:val="none" w:color="auto" w:sz="0" w:space="0"/>
          <w:shd w:val="clear" w:fill="FFFFFF"/>
        </w:rPr>
        <w:instrText xml:space="preserve"> HYPERLINK "http://www.gzdysx.com/guizhouzhaopinba/" \t "http://www.gzdysx.com/guizhouzhaopinba/share/guiyang/20170316/_blank" </w:instrText>
      </w:r>
      <w:r>
        <w:rPr>
          <w:rStyle w:val="4"/>
          <w:rFonts w:hint="default" w:ascii="仿宋" w:hAnsi="仿宋" w:eastAsia="仿宋" w:cs="仿宋"/>
          <w:i w:val="0"/>
          <w:caps w:val="0"/>
          <w:color w:val="3E3E3E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招聘</w:t>
      </w:r>
      <w:r>
        <w:rPr>
          <w:rStyle w:val="4"/>
          <w:rFonts w:hint="default" w:ascii="仿宋" w:hAnsi="仿宋" w:eastAsia="仿宋" w:cs="仿宋"/>
          <w:i w:val="0"/>
          <w:caps w:val="0"/>
          <w:color w:val="3E3E3E"/>
          <w:spacing w:val="0"/>
          <w:sz w:val="31"/>
          <w:szCs w:val="31"/>
          <w:u w:val="none"/>
          <w:bdr w:val="none" w:color="auto" w:sz="0" w:space="0"/>
          <w:shd w:val="clear" w:fill="FFFFFF"/>
        </w:rPr>
        <w:fldChar w:fldCharType="end"/>
      </w:r>
      <w:r>
        <w:rPr>
          <w:rStyle w:val="4"/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职位一览表</w:t>
      </w:r>
    </w:p>
    <w:tbl>
      <w:tblPr>
        <w:tblW w:w="8340" w:type="dxa"/>
        <w:jc w:val="center"/>
        <w:tblCellSpacing w:w="0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05"/>
        <w:gridCol w:w="4095"/>
        <w:gridCol w:w="675"/>
        <w:gridCol w:w="123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招聘要求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薪酬待遇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音乐喷泉操作员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男，35周岁以下（1982年10月24日以后出生），全日制电子类专业大专及以上学历，身高160CM以上，五官端正，身体健康；2、熟悉模拟电路和数字电路，熟悉音频系统操作柜机，能够熟练现场操作音频系统类大型喷泉的演示；3、熟悉Android/Linux的音频驱动系统，能熟练操作photoshop软件系统；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4、懂弱电,熟悉电子、计算机、水、电等相关硬件维修与维护。5、有电工证优先录用。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面向全省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3000元/月—3500元/月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  <w:jc w:val="center"/>
        </w:trPr>
        <w:tc>
          <w:tcPr>
            <w:tcW w:w="834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说明：以上岗位薪酬待遇均缴纳医疗保险、工伤保险、养老保险、失业保险、生育保险、住房公积金，包含个人应缴部份，由单位代扣缴。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44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