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87" w:tblpY="229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20"/>
        <w:gridCol w:w="1276"/>
        <w:gridCol w:w="1701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一级学科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专业或专业方向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实验员1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硕士研究生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材料科学与工程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材料学（金属材料方向）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一年及以上行业企业工作经验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实验员2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硕士研究生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信息与通信工程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物联网技术或物流信息技术</w:t>
            </w: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ind w:firstLine="964" w:firstLineChars="300"/>
        <w:rPr>
          <w:b/>
          <w:bCs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  <w:t>湖州职业技术学院2017年实验员岗位需求计划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