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46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3"/>
        <w:gridCol w:w="959"/>
        <w:gridCol w:w="830"/>
        <w:gridCol w:w="9006"/>
        <w:gridCol w:w="27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</w:rPr>
              <w:t>序号</w:t>
            </w:r>
          </w:p>
        </w:tc>
        <w:tc>
          <w:tcPr>
            <w:tcW w:w="9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</w:rPr>
              <w:t>招聘岗位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</w:rPr>
              <w:t>招聘人数</w:t>
            </w:r>
          </w:p>
        </w:tc>
        <w:tc>
          <w:tcPr>
            <w:tcW w:w="8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</w:rPr>
              <w:t>招聘条件</w:t>
            </w:r>
          </w:p>
        </w:tc>
        <w:tc>
          <w:tcPr>
            <w:tcW w:w="26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</w:rPr>
              <w:t>笔试范围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</w:t>
            </w:r>
          </w:p>
        </w:tc>
        <w:tc>
          <w:tcPr>
            <w:tcW w:w="9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主办会计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1人</w:t>
            </w:r>
          </w:p>
        </w:tc>
        <w:tc>
          <w:tcPr>
            <w:tcW w:w="8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1、年龄35周岁以下，特别优秀者年龄可适当放宽；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2、全日制大专及以上学历，中级以上会计师职称；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3、五年以上财务管理经验。</w:t>
            </w:r>
          </w:p>
        </w:tc>
        <w:tc>
          <w:tcPr>
            <w:tcW w:w="26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中级会计职称考试范围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</w:t>
            </w:r>
          </w:p>
        </w:tc>
        <w:tc>
          <w:tcPr>
            <w:tcW w:w="9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客户经理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3人</w:t>
            </w:r>
          </w:p>
        </w:tc>
        <w:tc>
          <w:tcPr>
            <w:tcW w:w="8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1、年龄30周岁以下；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2、全日制统招经济、财务类专业本科及以上学历学位；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3、有较强的语言表达、人际交往能力和团队协作精神。</w:t>
            </w:r>
          </w:p>
        </w:tc>
        <w:tc>
          <w:tcPr>
            <w:tcW w:w="26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会计实务、企业管理、经 济 法、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时事政策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</w:t>
            </w:r>
          </w:p>
        </w:tc>
        <w:tc>
          <w:tcPr>
            <w:tcW w:w="9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文  员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1人</w:t>
            </w:r>
          </w:p>
        </w:tc>
        <w:tc>
          <w:tcPr>
            <w:tcW w:w="8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1、年龄30周岁以下；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2、全日制统招本科及以上学历学位；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3、具有较强的语言文字表达能力和组织协调能力。</w:t>
            </w:r>
          </w:p>
        </w:tc>
        <w:tc>
          <w:tcPr>
            <w:tcW w:w="26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题材作文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一篇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4</w:t>
            </w:r>
          </w:p>
        </w:tc>
        <w:tc>
          <w:tcPr>
            <w:tcW w:w="9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法律部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主任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1人</w:t>
            </w:r>
          </w:p>
        </w:tc>
        <w:tc>
          <w:tcPr>
            <w:tcW w:w="8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1、年龄40周岁以下，特别优秀者年龄可适当放宽；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2、全日制统招法律类专业本科及以上学历学位；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3、具有经认可的3年以上律师事务所、县（市）级以上大型国有企业、事业单位、政府机关从事法律事务的工作经验。</w:t>
            </w:r>
          </w:p>
        </w:tc>
        <w:tc>
          <w:tcPr>
            <w:tcW w:w="26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民法总则、担 保 法、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物 权 法、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公 司 法、合同法等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A4A3F"/>
    <w:rsid w:val="3A59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4E4E4E"/>
      <w:sz w:val="14"/>
      <w:szCs w:val="14"/>
      <w:u w:val="none"/>
    </w:rPr>
  </w:style>
  <w:style w:type="character" w:styleId="6">
    <w:name w:val="Hyperlink"/>
    <w:basedOn w:val="3"/>
    <w:uiPriority w:val="0"/>
    <w:rPr>
      <w:color w:val="4E4E4E"/>
      <w:sz w:val="14"/>
      <w:szCs w:val="14"/>
      <w:u w:val="none"/>
    </w:rPr>
  </w:style>
  <w:style w:type="character" w:customStyle="1" w:styleId="8">
    <w:name w:val="open"/>
    <w:basedOn w:val="3"/>
    <w:uiPriority w:val="0"/>
  </w:style>
  <w:style w:type="character" w:customStyle="1" w:styleId="9">
    <w:name w:val="close"/>
    <w:basedOn w:val="3"/>
    <w:qFormat/>
    <w:uiPriority w:val="0"/>
  </w:style>
  <w:style w:type="character" w:customStyle="1" w:styleId="10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2017-11-21T13:35:22Z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