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0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062"/>
        <w:gridCol w:w="1062"/>
        <w:gridCol w:w="1696"/>
        <w:gridCol w:w="1537"/>
        <w:gridCol w:w="1075"/>
        <w:gridCol w:w="1075"/>
        <w:gridCol w:w="1091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1024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36"/>
                <w:szCs w:val="36"/>
                <w:lang w:val="en-US" w:eastAsia="zh-CN" w:bidi="ar"/>
              </w:rPr>
              <w:t>汝州市2017年公开招聘国有资本经营公司副总经理、中层岗位进入体检人员名单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面试考证号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业绩测评原始成绩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李辉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57.3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94.0 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78.110 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张鹏英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59.9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83.8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77.595 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崔松勃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55.1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90.2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89.0 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77.555 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宁超群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54.3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88.7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77.050 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王飞超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56.9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87.6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88.0 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76.975 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王佳佳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53.6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90.5 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76.360 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石晓磊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54.5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89.0 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75.770 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李世伟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87.6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91.5 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75.610 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朱明阳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87.4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91.5 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75.540 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张好好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101-副总经理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2017010108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52.8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75.405 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张松杰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59.4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77.785 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严梦娇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50.5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89.4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92.0 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76.565 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王少娟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54.4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92.0 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76.425 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姬晓东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53.3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85.8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75.985 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李锦茹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52.2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86.6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75.880 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姚乃斌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55.7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81.9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92.0 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75.760 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王琼瑶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50.4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88.6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75.650 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梁家宁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50.5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90.0 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75.475 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王亚乐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47.2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88.4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92.0 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75.060 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郭发超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201-中层人员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2017010212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49.9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89.0 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6" w:lineRule="atLeast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74.790 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2017-12-12T09:42:11Z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