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05"/>
        <w:gridCol w:w="1560"/>
        <w:gridCol w:w="1110"/>
        <w:gridCol w:w="414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14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招聘岗位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人数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学历学位要求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专业要求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其他要求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14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辅导员教师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本科及以上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专业不限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1. 35周岁及以下（1982年1月19日以后出生），2018年7月31日之前取得普通高校全日制本科、学士及以上学历学位，其中取得研究生学历、硕士及以上学位者优先。留学人员须同时获得教育部中国留学服务中心出具的境外学历、学位认证书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2.民族不限。应是中国共产党党员或中共预备党员，同时曾担任过相关职务学生干部。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</w:pPr>
            <w:r>
              <w:t>3.能够熟练使用汉语和维吾尔语。具体要求见招聘条件。</w:t>
            </w:r>
          </w:p>
        </w:tc>
        <w:tc>
          <w:tcPr>
            <w:tcW w:w="9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2018-01-19T09:44:03Z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