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 w:firstLine="643" w:firstLineChars="20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333333"/>
          <w:kern w:val="0"/>
          <w:sz w:val="28"/>
          <w:szCs w:val="28"/>
          <w:lang w:val="en-US" w:eastAsia="zh-CN" w:bidi="ar"/>
        </w:rPr>
        <w:t>招聘岗位</w:t>
      </w:r>
    </w:p>
    <w:tbl>
      <w:tblPr>
        <w:tblW w:w="9539" w:type="dxa"/>
        <w:jc w:val="center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65"/>
        <w:gridCol w:w="1260"/>
        <w:gridCol w:w="750"/>
        <w:gridCol w:w="645"/>
        <w:gridCol w:w="644"/>
        <w:gridCol w:w="1245"/>
        <w:gridCol w:w="19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计划编号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岗位属性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要求能力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21-37-1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学科建设与师资管理岗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思想政治教育类优先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较高文字工作写作能力，熟练运用各类办公软件。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50A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2018-01-24T01:11:06Z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