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01" w:lineRule="atLeast"/>
        <w:ind w:left="0" w:firstLine="501"/>
        <w:jc w:val="both"/>
      </w:pPr>
      <w:r>
        <w:rPr>
          <w:rStyle w:val="4"/>
          <w:rFonts w:hint="eastAsia" w:ascii="宋体" w:hAnsi="宋体" w:eastAsia="宋体" w:cs="宋体"/>
          <w:b/>
          <w:sz w:val="25"/>
          <w:szCs w:val="25"/>
        </w:rPr>
        <w:t>招聘崗位</w:t>
      </w:r>
    </w:p>
    <w:tbl>
      <w:tblPr>
        <w:tblW w:w="7110" w:type="dxa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6"/>
        <w:gridCol w:w="2373"/>
        <w:gridCol w:w="735"/>
        <w:gridCol w:w="3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sz w:val="25"/>
                <w:szCs w:val="25"/>
                <w:bdr w:val="none" w:color="auto" w:sz="0" w:space="0"/>
              </w:rPr>
              <w:t>序號</w:t>
            </w:r>
          </w:p>
        </w:tc>
        <w:tc>
          <w:tcPr>
            <w:tcW w:w="2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sz w:val="25"/>
                <w:szCs w:val="25"/>
                <w:bdr w:val="none" w:color="auto" w:sz="0" w:space="0"/>
              </w:rPr>
              <w:t>二級學院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sz w:val="25"/>
                <w:szCs w:val="25"/>
                <w:bdr w:val="none" w:color="auto" w:sz="0" w:space="0"/>
              </w:rPr>
              <w:t>崗位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1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sz w:val="25"/>
                <w:szCs w:val="25"/>
                <w:bdr w:val="none" w:color="auto" w:sz="0" w:space="0"/>
              </w:rPr>
              <w:t>學科專業（方向）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tblCellSpacing w:w="15" w:type="dxa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1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機電工程學院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教學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科研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3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高電壓與絕緣技術、電力系統及其自動化、電機與電器、電工理論與新技術、機械電子工程、車輛工程、精密機械及儀器、測試計量技術及儀器、控制理論與控制工程、檢測技術與自動化裝置、生物醫學工程、光學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2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資訊工程學院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教學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科研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3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模式識別與智能系統、通信與資訊系統、信號與資訊處理、電腦系統結構、電腦軟體與理論、電腦應用技術、電子科學與技術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8" w:hRule="atLeast"/>
          <w:tblCellSpacing w:w="15" w:type="dxa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3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土木工程學院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教學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科研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3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結構工程、防災減災工程及防護工程、橋樑與隧道工程、建築設計及其理論、城市規劃與設計、管理科學與工程（土木工程方向）、土木工程、建築學、力學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5" w:hRule="atLeast"/>
          <w:tblCellSpacing w:w="15" w:type="dxa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4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環境與生物工程學院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教學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科研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63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植物學、分析化學、物理化學、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63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材料物理與化學、材料學、農產品加工及貯藏工程、食品科學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tblCellSpacing w:w="15" w:type="dxa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5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護理學院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教學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科研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8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護理學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6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藥學與醫學技術學院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教學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科研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8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藥理學、臨床檢驗診斷學、影像醫學與核醫學、法醫學、放射醫學、藥學、基礎醫學、臨床醫學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5"/>
                <w:szCs w:val="25"/>
                <w:bdr w:val="none" w:color="auto" w:sz="0" w:space="0"/>
              </w:rPr>
              <w:t>序號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5"/>
                <w:szCs w:val="25"/>
                <w:bdr w:val="none" w:color="auto" w:sz="0" w:space="0"/>
              </w:rPr>
              <w:t>二級學院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5"/>
                <w:szCs w:val="25"/>
                <w:bdr w:val="none" w:color="auto" w:sz="0" w:space="0"/>
              </w:rPr>
              <w:t>崗位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5"/>
                <w:szCs w:val="25"/>
                <w:bdr w:val="none" w:color="auto" w:sz="0" w:space="0"/>
              </w:rPr>
              <w:t>專業（方向）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7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基礎醫學部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教學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科研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8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人體解剖和組織胚胎學、免疫學、病原生物學、流行病與衛生統計學、勞動衛生與環境衛生學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tblCellSpacing w:w="15" w:type="dxa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8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管理學院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教學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科研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8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旅遊管理（酒店管理）、人力資源管理、公共管理（社會醫學與衛生事業管理方向）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tblCellSpacing w:w="15" w:type="dxa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9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商學院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教學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科研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8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電子商務及相關專業、會計學、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88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企業管理（含：財務管理、市場行銷）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tblCellSpacing w:w="15" w:type="dxa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10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文化與傳播學院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教學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科研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8" w:lineRule="atLeast"/>
              <w:ind w:left="0" w:firstLine="0"/>
              <w:jc w:val="both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新聞傳播學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tblCellSpacing w:w="15" w:type="dxa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11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外國語學院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教學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科研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8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商務英語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tblCellSpacing w:w="15" w:type="dxa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12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數學學院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教學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科研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8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金融學（含∶保險學）、數量經濟學、統計學、基礎數學、概率論與數理統計、計算數學、運籌學與控制論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tblCellSpacing w:w="15" w:type="dxa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13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基礎教育學院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教學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科研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8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學前教育學、教育學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tblCellSpacing w:w="15" w:type="dxa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14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體育學院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教學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科研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8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體育教育訓練學、體育人文社會學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tblCellSpacing w:w="15" w:type="dxa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15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工藝美術學院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教學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科研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8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美術學、設計藝術學（工藝美術、環境設計、視覺傳達設計）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tblCellSpacing w:w="15" w:type="dxa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16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音樂學院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教學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科研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8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音樂學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tblCellSpacing w:w="15" w:type="dxa"/>
        </w:trPr>
        <w:tc>
          <w:tcPr>
            <w:tcW w:w="6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17</w:t>
            </w:r>
          </w:p>
        </w:tc>
        <w:tc>
          <w:tcPr>
            <w:tcW w:w="2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妈祖文化研究院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教學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1" w:lineRule="atLeast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科研</w:t>
            </w:r>
          </w:p>
        </w:tc>
        <w:tc>
          <w:tcPr>
            <w:tcW w:w="3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88" w:lineRule="atLeast"/>
              <w:ind w:lef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sz w:val="23"/>
                <w:szCs w:val="23"/>
                <w:bdr w:val="none" w:color="auto" w:sz="0" w:space="0"/>
              </w:rPr>
              <w:t>社會學（應用社會學）、民俗學（遺產傳承與保護）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F2EF2"/>
    <w:rsid w:val="32CF2E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2018-02-01T11:47:00Z</dcterms:created>
  <dc:creator>ASUS</dc:creator>
  <cp:lastModifiedBy>ASUS</cp:lastModifiedBy>
  <dcterms:modified xsi:type="dcterms:W3CDTF">2018-02-01T11:48:05Z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