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5" w:lineRule="atLeast"/>
        <w:ind w:left="0" w:right="0"/>
        <w:jc w:val="center"/>
      </w:pPr>
      <w:bookmarkStart w:id="0" w:name="_GoBack"/>
      <w:r>
        <w:rPr>
          <w:rStyle w:val="4"/>
          <w:rFonts w:hint="eastAsia" w:ascii="微软雅黑" w:hAnsi="微软雅黑" w:eastAsia="微软雅黑" w:cs="微软雅黑"/>
          <w:color w:val="000000"/>
          <w:sz w:val="25"/>
          <w:szCs w:val="25"/>
          <w:shd w:val="clear" w:fill="FFFFFF"/>
        </w:rPr>
        <w:t>2018年</w:t>
      </w:r>
      <w:bookmarkEnd w:id="0"/>
      <w:r>
        <w:rPr>
          <w:rStyle w:val="4"/>
          <w:rFonts w:hint="eastAsia" w:ascii="微软雅黑" w:hAnsi="微软雅黑" w:eastAsia="微软雅黑" w:cs="微软雅黑"/>
          <w:color w:val="000000"/>
          <w:sz w:val="25"/>
          <w:szCs w:val="25"/>
          <w:shd w:val="clear" w:fill="FFFFFF"/>
        </w:rPr>
        <w:t>阳光学院引进高层次人才待遇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5" w:lineRule="atLeast"/>
        <w:ind w:left="0" w:right="0" w:firstLine="280"/>
        <w:jc w:val="center"/>
      </w:pPr>
      <w:r>
        <w:rPr>
          <w:rFonts w:hint="eastAsia" w:ascii="微软雅黑" w:hAnsi="微软雅黑" w:eastAsia="微软雅黑" w:cs="微软雅黑"/>
          <w:color w:val="000000"/>
          <w:sz w:val="25"/>
          <w:szCs w:val="25"/>
          <w:shd w:val="clear" w:fill="FFFFFF"/>
        </w:rPr>
        <w:t>（</w:t>
      </w:r>
      <w:r>
        <w:rPr>
          <w:rFonts w:hint="eastAsia" w:ascii="微软雅黑" w:hAnsi="微软雅黑" w:eastAsia="微软雅黑" w:cs="微软雅黑"/>
          <w:color w:val="333333"/>
          <w:sz w:val="25"/>
          <w:szCs w:val="25"/>
          <w:shd w:val="clear" w:fill="FFFFFF"/>
        </w:rPr>
        <w:t>单位：万元人民币）</w:t>
      </w:r>
    </w:p>
    <w:tbl>
      <w:tblPr>
        <w:tblW w:w="7526" w:type="dxa"/>
        <w:jc w:val="center"/>
        <w:tblCellSpacing w:w="0" w:type="dxa"/>
        <w:tblInd w:w="45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2742"/>
        <w:gridCol w:w="1340"/>
        <w:gridCol w:w="1114"/>
        <w:gridCol w:w="105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40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高层次人才类别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年薪</w:t>
            </w: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（税前）</w:t>
            </w:r>
          </w:p>
        </w:tc>
        <w:tc>
          <w:tcPr>
            <w:tcW w:w="11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科研启动</w:t>
            </w: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经费</w:t>
            </w:r>
          </w:p>
        </w:tc>
        <w:tc>
          <w:tcPr>
            <w:tcW w:w="1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购房</w:t>
            </w: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补贴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2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学科带头人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土木工程、信息与通信工程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40-100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30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工商管理、公共管理等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35-40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20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2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博士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土木工程、信息与通信工程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25-40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10-15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工商管理、公共管理等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15-25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tblCellSpacing w:w="0" w:type="dxa"/>
          <w:jc w:val="center"/>
        </w:trPr>
        <w:tc>
          <w:tcPr>
            <w:tcW w:w="752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  <w:t>备注：符合福建省、福州市人才引进条件的，由学校申请享受高层次人才引进相关待遇，如人才公寓申购、购房补贴等。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E7631"/>
    <w:rsid w:val="38AE7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15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454545"/>
      <w:u w:val="none"/>
    </w:rPr>
  </w:style>
  <w:style w:type="character" w:customStyle="1" w:styleId="7">
    <w:name w:val="clear2"/>
    <w:basedOn w:val="3"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2018-02-27T04:26:00Z</dcterms:created>
  <dc:creator>ASUS</dc:creator>
  <cp:lastModifiedBy>ASUS</cp:lastModifiedBy>
  <dcterms:modified xsi:type="dcterms:W3CDTF">2018-02-27T04:26:16Z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