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z w:val="32"/>
          <w:szCs w:val="32"/>
        </w:rPr>
        <w:t>阳光学院2018</w:t>
      </w:r>
      <w:r>
        <w:rPr>
          <w:rStyle w:val="4"/>
          <w:rFonts w:hint="eastAsia" w:ascii="宋体" w:hAnsi="宋体" w:eastAsia="宋体" w:cs="宋体"/>
          <w:color w:val="000000"/>
          <w:sz w:val="14"/>
          <w:szCs w:val="14"/>
        </w:rPr>
        <w:t>年高层次人才引进计划</w:t>
      </w:r>
    </w:p>
    <w:tbl>
      <w:tblPr>
        <w:tblW w:w="7992" w:type="dxa"/>
        <w:jc w:val="center"/>
        <w:tblCellSpacing w:w="0" w:type="dxa"/>
        <w:tblInd w:w="301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516"/>
        <w:gridCol w:w="492"/>
        <w:gridCol w:w="2568"/>
        <w:gridCol w:w="39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49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序号</w:t>
            </w:r>
          </w:p>
        </w:tc>
        <w:tc>
          <w:tcPr>
            <w:tcW w:w="51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招聘院系</w:t>
            </w:r>
          </w:p>
        </w:tc>
        <w:tc>
          <w:tcPr>
            <w:tcW w:w="4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招聘人数</w:t>
            </w:r>
          </w:p>
        </w:tc>
        <w:tc>
          <w:tcPr>
            <w:tcW w:w="2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专 业 要 求</w:t>
            </w:r>
          </w:p>
        </w:tc>
        <w:tc>
          <w:tcPr>
            <w:tcW w:w="3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4"/>
                <w:szCs w:val="14"/>
              </w:rPr>
              <w:t>其 他 要 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院</w:t>
            </w:r>
          </w:p>
        </w:tc>
        <w:tc>
          <w:tcPr>
            <w:tcW w:w="4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酒店管理相关专业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能讲授饭店经营管理、旅游经济学、旅游心理学等课程教学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管理类相关专业，信息管理专业优先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能讲授大数据营销、数据挖掘、智慧商务等课程教学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物业管理相关专业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能讲授物业管理相关专业课程教学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财经类（会计相关方向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)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5年，在经济研究、管理世界、会计研究、审计研究或国际SSCI</w:t>
            </w: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刊物发表论文至少1篇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财经类（审计相关方向）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5年，在经济研究、管理世界、会计研究、审计研究或国际SSCI</w:t>
            </w: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刊物发表论文至少1篇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财经类（财务管理方向）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5年，在经济研究、管理世界、会计研究、审计研究或国际SSCI</w:t>
            </w: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刊物发表论文至少1篇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国贸实务类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有行业经验者优先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8</w:t>
            </w:r>
          </w:p>
        </w:tc>
        <w:tc>
          <w:tcPr>
            <w:tcW w:w="5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智慧金融类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有行业经验者优先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9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人文与传播学院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广播电视艺术学、传播学、电影学、戏剧影视学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有科研成果和较强的实践经验者优先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行政管理、人力资源相关专业（人力资源管理方向）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能讲授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人员素质测评、绩效与薪酬管理、组织培训与开发等相关课程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环境资源管理相关专业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能够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讲授生命周期评价与管理、生态经济学、环境管理学、环境与资源经济学等相关课程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社会心理学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有社会心理学类别的课程授课经验，以及具备一定的科研成果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广告学、传播学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能够讲授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网络与新媒体传播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整合营销传播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中外广告史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市场调查等相关课程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文化产业管理、传播学、艺术学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具有文化产业管理规划、文化资源保护与开发、文化创意产业开发与运营等能力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土木工程学院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土木工程及相关专业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能够讲授土工程材料、画法几何与工程制图、钢结构、土木工程施工及土木工程专业其它课程，指导课程实验、实习、毕业设计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建筑电气与自动化工程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及相关专业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能够讲授建筑电气工程CAD</w:t>
            </w: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、建筑设备概论、建筑设备安装工程施工、建筑设备安装工程预算。及建筑电气与自动化工程其它专业课程，指导课程实验、实习、毕业设计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土木工程学院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工程管理及相关专业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够讲授工程项目管理、工程招标投标与合同管理、安装工程计量与计价、工程造价控制与管理、建筑工程计量与计价、建筑工程造价应用软件分析（晨曦）及工程管理其它专业课程，指导课程实验、实习、毕业设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道路桥梁与渡河工程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及相关专业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能够讲授桥梁工程、道路工程、道路勘测设计、路基路面、基础工程、桥涵水文、港口工程、道路施工及路桥专业的其它课程等，指导课程实验、实习、毕业设计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信息工程学院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计算机类、信息管理类专业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有较丰富的大数据分析与处理项目经验，有企业相关工作经验者优先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计算机类、信息管理类专业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有较丰富三维建模、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VR技术项目经验，有企业相关工作经验者优先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计算机类、信息管理类专业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具有丰富的实验室箮理、教学与科研经验，具有较充实的实验教学与科研成果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电子信息工程类相关专业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有较丰富项目或实践经验，或有企业相关工作经验者优先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物联网工程类相关专业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有较丰富项目或实践经验，或有企业相关工作经验者优先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计算机类、艺术设计类专业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熟悉二维三维动画相关知识，有较丰富教学或项目、实践经验，有企业相关工作经验者优先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计算机类、艺术设计类专业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熟悉影视特相关知识，有效较丰富教学或项目、实践经验，有企业相关工作经验者优先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通信工程类相关专业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有较丰富项目或实践经验，或有企业相关工作经验者优先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马克思主义学院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伦理学、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哲学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等相关专业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能讲授中特理论、马克思主义基本原理概论、国学教育等相关课程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法学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具有学术研究潜力的法学一级学科人才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部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数学</w:t>
            </w:r>
          </w:p>
        </w:tc>
        <w:tc>
          <w:tcPr>
            <w:tcW w:w="3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能够讲授高等数学以及电子工程数学(</w:t>
            </w:r>
            <w: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  <w:t>包含工程数学,线性代数及概率论与数理统计)等课程，具有一定的科研能力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微软雅黑" w:hAnsi="微软雅黑" w:eastAsia="微软雅黑" w:cs="微软雅黑"/>
          <w:color w:val="000000"/>
          <w:sz w:val="14"/>
          <w:szCs w:val="14"/>
        </w:rPr>
        <w:br w:type="textWrapping"/>
      </w: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备注：以上引进高层次人才的学历学位要求均为全日制博士研究生，年龄要求在55</w:t>
      </w:r>
      <w:r>
        <w:rPr>
          <w:rStyle w:val="4"/>
          <w:rFonts w:hint="eastAsia" w:ascii="宋体" w:hAnsi="宋体" w:eastAsia="宋体" w:cs="宋体"/>
          <w:color w:val="000000"/>
          <w:sz w:val="14"/>
          <w:szCs w:val="14"/>
        </w:rPr>
        <w:t>周岁以下。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微软雅黑" w:hAnsi="微软雅黑" w:eastAsia="微软雅黑" w:cs="微软雅黑"/>
          <w:color w:val="00000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/>
        <w:jc w:val="left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三、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引</w:t>
      </w: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进待遇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阳光学院2018</w:t>
      </w:r>
      <w:r>
        <w:rPr>
          <w:rStyle w:val="4"/>
          <w:rFonts w:hint="eastAsia" w:ascii="宋体" w:hAnsi="宋体" w:eastAsia="宋体" w:cs="宋体"/>
          <w:color w:val="000000"/>
          <w:sz w:val="14"/>
          <w:szCs w:val="14"/>
          <w:shd w:val="clear" w:fill="FFFFFF"/>
        </w:rPr>
        <w:t>年引进高层次人才待遇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14"/>
          <w:szCs w:val="14"/>
          <w:shd w:val="clear" w:fill="FFFFFF"/>
        </w:rPr>
        <w:t>（单位：万元人民币）</w:t>
      </w:r>
    </w:p>
    <w:tbl>
      <w:tblPr>
        <w:tblW w:w="8232" w:type="dxa"/>
        <w:jc w:val="center"/>
        <w:tblCellSpacing w:w="0" w:type="dxa"/>
        <w:tblInd w:w="28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856"/>
        <w:gridCol w:w="1524"/>
        <w:gridCol w:w="1416"/>
        <w:gridCol w:w="12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高层次人才类别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学科类别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年薪（税前）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科研启动经费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购房补贴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16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学科带头人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土木工程、信息与通信工程、工商管理、应用经济学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40-100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公共管理、法学等其他学科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35-40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164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博士</w:t>
            </w:r>
          </w:p>
        </w:tc>
        <w:tc>
          <w:tcPr>
            <w:tcW w:w="2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土木工程、信息与通信工程、工商管理、应用经济学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25-40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10-15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164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公共管理、法学等其他学科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15-25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82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</w:rPr>
              <w:t>备注：符合福建省、福州市人才引进条件的，由学校申请享受高层次人才引进相关待遇，如人才公寓申购、购房补贴等。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4"/>
          <w:szCs w:val="1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A529A"/>
    <w:rsid w:val="3B226DE1"/>
    <w:rsid w:val="3B9F6E9E"/>
    <w:rsid w:val="7D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  <w:style w:type="character" w:customStyle="1" w:styleId="8">
    <w:name w:val="bds_more1"/>
    <w:basedOn w:val="3"/>
    <w:uiPriority w:val="0"/>
  </w:style>
  <w:style w:type="character" w:customStyle="1" w:styleId="9">
    <w:name w:val="bds_more2"/>
    <w:basedOn w:val="3"/>
    <w:uiPriority w:val="0"/>
    <w:rPr>
      <w:rFonts w:hint="eastAsia" w:ascii="宋体" w:hAnsi="宋体" w:eastAsia="宋体" w:cs="宋体"/>
    </w:rPr>
  </w:style>
  <w:style w:type="character" w:customStyle="1" w:styleId="10">
    <w:name w:val="bds_more3"/>
    <w:basedOn w:val="3"/>
    <w:uiPriority w:val="0"/>
  </w:style>
  <w:style w:type="character" w:customStyle="1" w:styleId="11">
    <w:name w:val="bds_nopic"/>
    <w:basedOn w:val="3"/>
    <w:qFormat/>
    <w:uiPriority w:val="0"/>
  </w:style>
  <w:style w:type="character" w:customStyle="1" w:styleId="12">
    <w:name w:val="bds_nopic1"/>
    <w:basedOn w:val="3"/>
    <w:uiPriority w:val="0"/>
  </w:style>
  <w:style w:type="character" w:customStyle="1" w:styleId="13">
    <w:name w:val="bds_nopic2"/>
    <w:basedOn w:val="3"/>
    <w:uiPriority w:val="0"/>
  </w:style>
  <w:style w:type="paragraph" w:customStyle="1" w:styleId="14">
    <w:name w:val="_Style 1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clear2"/>
    <w:basedOn w:val="3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2018-03-09T12:30:21Z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