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shd w:val="clear" w:color="auto" w:fill="F8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8FCFC"/>
          <w:tblLayout w:type="fixed"/>
        </w:tblPrEx>
        <w:tc>
          <w:tcPr>
            <w:tcW w:w="8306" w:type="dxa"/>
            <w:shd w:val="clear" w:color="auto" w:fill="F8FCFC"/>
            <w:vAlign w:val="center"/>
          </w:tcPr>
          <w:tbl>
            <w:tblPr>
              <w:tblW w:w="8306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7973" w:type="dxa"/>
                    <w:jc w:val="center"/>
                    <w:tblInd w:w="167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73"/>
                  </w:tblGrid>
                  <w:tr>
                    <w:tblPrEx>
                      <w:shd w:val="clear"/>
                      <w:tblLayout w:type="fixed"/>
                    </w:tblPrEx>
                    <w:trPr>
                      <w:jc w:val="center"/>
                    </w:trPr>
                    <w:tc>
                      <w:tcPr>
                        <w:tcW w:w="7973" w:type="dxa"/>
                        <w:shd w:val="clear"/>
                        <w:vAlign w:val="top"/>
                      </w:tcPr>
                      <w:tbl>
                        <w:tblPr>
                          <w:tblW w:w="7112" w:type="dxa"/>
                          <w:tblInd w:w="3" w:type="dxa"/>
                          <w:tblBorders>
                            <w:top w:val="none" w:color="auto" w:sz="6" w:space="0"/>
                            <w:left w:val="none" w:color="auto" w:sz="6" w:space="0"/>
                            <w:bottom w:val="none" w:color="auto" w:sz="6" w:space="0"/>
                            <w:right w:val="none" w:color="auto" w:sz="6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9"/>
                          <w:gridCol w:w="6323"/>
                        </w:tblGrid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789" w:type="dxa"/>
                              <w:tc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招聘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岗位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single" w:color="000000" w:sz="4" w:space="0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从事信息化校园建设2人，岗位如下：1、网络安全应急管理1人；2、系统开发1人。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 w:line="173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</w:rPr>
                                <w:t>招 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 w:line="173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</w:rPr>
                                <w:t>条件或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 w:line="173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</w:rPr>
                                <w:t>要 求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200" w:beforeAutospacing="0" w:after="200" w:afterAutospacing="0" w:line="173" w:lineRule="atLeast"/>
                                <w:ind w:left="0" w:right="0"/>
                                <w:jc w:val="both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1、安全中心技术人员（主要从事网络安全应急管理）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具有相关专业全日制硕士及以上学历、学位（含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2018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年应届毕业生）。具有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年及以上相关工作经验的应聘人员，应具有硕士及以上学位。计算机、信息安全相关专业优先。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具备基础的信息安全知识，如注入、彩虹表等，获得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Security+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CISP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CISM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安全认证者优先。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熟练使用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Java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Python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等开发语言，具备开发经验者优先。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具有较好的文档编写能力，能熟练使用常用办公及制图软件。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Ø</w:t>
                              </w: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有执行力和良好的团队合作能力、优秀的自学能力，能吃苦耐劳。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200" w:beforeAutospacing="0" w:after="200" w:afterAutospacing="0" w:line="173" w:lineRule="atLeast"/>
                                <w:ind w:left="0" w:right="0"/>
                                <w:jc w:val="both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2、信息中心技术人员（主要从事系统开发）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51" w:right="0" w:hanging="35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Ø</w:t>
                              </w: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具有相关专业全日制硕士及以上学历、学位（含2018年应届毕业生）。具有3年及以上相关工作经验的应聘人员，应具有硕士及以上学位。有项目管理或团队管理经验者优先。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熟悉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Java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C++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Python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等主流编程语言，至少精通一门主流编程语言，具备三年以上使用相关语言的开发经验。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熟悉主流数据库如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Oracle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Mysql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SQLServer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等，具备相关数据库开发工作经验。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技术能力全面，熟悉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Linux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和硬件编程技术，熟悉物联网技术原理及系统设计者优先。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315" w:lineRule="atLeast"/>
                                <w:ind w:left="301" w:right="0" w:hanging="301"/>
                                <w:jc w:val="both"/>
                              </w:pPr>
                              <w:r>
                                <w:rPr>
                                  <w:rFonts w:hint="default" w:ascii="Wingdings" w:hAnsi="Wingdings" w:eastAsia="Wingdings" w:cs="Wingdings"/>
                                  <w:sz w:val="20"/>
                                  <w:szCs w:val="20"/>
                                  <w:lang w:val="en-US"/>
                                </w:rPr>
                                <w:t>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具有良好的团队合作能力、沟通协调能力和需求分析能力，能吃苦耐劳。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230" w:lineRule="atLeast"/>
                                <w:ind w:left="301" w:right="0" w:firstLine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 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173" w:lineRule="atLeast"/>
                                <w:ind w:left="0" w:right="0"/>
                                <w:jc w:val="both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以上所招聘岗位，有下列情况之一的不予考虑：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173" w:lineRule="atLeast"/>
                                <w:ind w:left="0" w:right="0"/>
                                <w:jc w:val="both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　（1）受过刑事处罚的。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 w:line="173" w:lineRule="atLeast"/>
                                <w:ind w:left="0" w:right="0"/>
                                <w:jc w:val="both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　（2）因违反党（团）纪、政纪或校规校纪而得到纪律处分的。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招聘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范围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wordWrap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校内  [√ ]     校外  [√ ]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岗位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待遇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按学校政策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14" w:hRule="atLeast"/>
                          </w:trPr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应聘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程序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1、递交个人应聘材料，包括简历、学历、学位证书等；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2、资格初审—面试—报批学校。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联系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方式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联系人：王老师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联系电话：65643847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传真：65642904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Email: xxb@fudan.edu.cn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6" w:space="0"/>
                              <w:left w:val="none" w:color="auto" w:sz="6" w:space="0"/>
                              <w:bottom w:val="none" w:color="auto" w:sz="6" w:space="0"/>
                              <w:right w:val="none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64" w:hRule="atLeast"/>
                          </w:trPr>
                          <w:tc>
                            <w:tcPr>
                              <w:tcW w:w="789" w:type="dxa"/>
                              <w:tcBorders>
                                <w:top w:val="nil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center"/>
                              </w:pPr>
                              <w:r>
                                <w:rPr>
                                  <w:rStyle w:val="4"/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备注</w:t>
                              </w:r>
                            </w:p>
                          </w:tc>
                          <w:tc>
                            <w:tcPr>
                              <w:tcW w:w="6323" w:type="dxa"/>
                              <w:tcBorders>
                                <w:top w:val="nil"/>
                                <w:left w:val="nil"/>
                                <w:bottom w:val="single" w:color="000000" w:sz="4" w:space="0"/>
                                <w:right w:val="single" w:color="000000" w:sz="4" w:space="0"/>
                              </w:tcBorders>
                              <w:shd w:val="clear"/>
                              <w:tcMar>
                                <w:left w:w="88" w:type="dxa"/>
                                <w:right w:w="88" w:type="dxa"/>
                              </w:tcMar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1" w:after="0" w:afterAutospacing="1"/>
                                <w:ind w:left="0" w:right="0"/>
                                <w:jc w:val="left"/>
                              </w:pPr>
                              <w:r>
                                <w:rPr>
                                  <w:rFonts w:asciiTheme="minorHAnsi" w:hAnsiTheme="minorHAnsi" w:eastAsiaTheme="minorEastAsia" w:cstheme="minorBidi"/>
                                  <w:kern w:val="0"/>
                                  <w:sz w:val="20"/>
                                  <w:szCs w:val="20"/>
                                  <w:lang w:val="en-US" w:eastAsia="zh-CN" w:bidi="ar"/>
                                </w:rPr>
                                <w:t>截止时间：招聘到合适人员为止。</w:t>
                              </w:r>
                            </w:p>
                          </w:tc>
                        </w:tr>
                      </w:tbl>
                      <w:p>
                        <w:pPr>
                          <w:jc w:val="left"/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6798"/>
    <w:rsid w:val="6B02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2018-03-15T11:51:00Z</dcterms:created>
  <dc:creator>ASUS</dc:creator>
  <cp:lastModifiedBy>ASUS</cp:lastModifiedBy>
  <dcterms:modified xsi:type="dcterms:W3CDTF">2018-03-15T11:52:12Z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