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rPr>
      </w:pPr>
      <w:r>
        <w:rPr>
          <w:rFonts w:hint="eastAsia" w:ascii="仿宋" w:hAnsi="仿宋" w:eastAsia="仿宋"/>
          <w:b/>
        </w:rPr>
        <w:t>附件</w:t>
      </w:r>
      <w:r>
        <w:rPr>
          <w:rFonts w:ascii="仿宋" w:hAnsi="仿宋" w:eastAsia="仿宋"/>
          <w:b/>
        </w:rPr>
        <w:t>2</w:t>
      </w:r>
    </w:p>
    <w:p>
      <w:pPr>
        <w:jc w:val="center"/>
        <w:rPr>
          <w:rFonts w:ascii="方正小标宋简体" w:eastAsia="方正小标宋简体"/>
          <w:b/>
          <w:sz w:val="36"/>
          <w:szCs w:val="36"/>
        </w:rPr>
      </w:pPr>
      <w:r>
        <w:rPr>
          <w:rFonts w:hint="eastAsia" w:ascii="方正小标宋简体" w:eastAsia="方正小标宋简体"/>
          <w:b/>
          <w:sz w:val="36"/>
          <w:szCs w:val="36"/>
        </w:rPr>
        <w:t>阳</w:t>
      </w:r>
      <w:bookmarkStart w:id="0" w:name="_GoBack"/>
      <w:bookmarkEnd w:id="0"/>
      <w:r>
        <w:rPr>
          <w:rFonts w:hint="eastAsia" w:ascii="方正小标宋简体" w:eastAsia="方正小标宋简体"/>
          <w:b/>
          <w:sz w:val="36"/>
          <w:szCs w:val="36"/>
        </w:rPr>
        <w:t>江市江城区人民法院合同制法官助理工资标准表</w:t>
      </w:r>
    </w:p>
    <w:p>
      <w:pPr>
        <w:jc w:val="center"/>
        <w:rPr>
          <w:rFonts w:ascii="黑体" w:eastAsia="黑体"/>
          <w:b/>
          <w:sz w:val="36"/>
          <w:szCs w:val="36"/>
        </w:rPr>
      </w:pPr>
      <w:r>
        <w:rPr>
          <w:rFonts w:ascii="宋体" w:hAnsi="宋体"/>
          <w:sz w:val="24"/>
        </w:rPr>
        <w:t xml:space="preserve">                                                                                                       </w:t>
      </w:r>
      <w:r>
        <w:rPr>
          <w:rFonts w:hint="eastAsia" w:ascii="宋体" w:hAnsi="宋体"/>
          <w:sz w:val="24"/>
        </w:rPr>
        <w:t>元</w:t>
      </w:r>
      <w:r>
        <w:rPr>
          <w:rFonts w:ascii="宋体" w:hAnsi="宋体"/>
          <w:sz w:val="24"/>
        </w:rPr>
        <w:t>/</w:t>
      </w:r>
      <w:r>
        <w:rPr>
          <w:rFonts w:hint="eastAsia" w:ascii="宋体" w:hAnsi="宋体"/>
          <w:sz w:val="24"/>
        </w:rPr>
        <w:t>月</w:t>
      </w:r>
    </w:p>
    <w:tbl>
      <w:tblPr>
        <w:tblStyle w:val="3"/>
        <w:tblW w:w="14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962"/>
        <w:gridCol w:w="1077"/>
        <w:gridCol w:w="1342"/>
        <w:gridCol w:w="1342"/>
        <w:gridCol w:w="1075"/>
        <w:gridCol w:w="1342"/>
        <w:gridCol w:w="1342"/>
        <w:gridCol w:w="1342"/>
        <w:gridCol w:w="1342"/>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3019" w:type="dxa"/>
            <w:gridSpan w:val="2"/>
            <w:vAlign w:val="center"/>
          </w:tcPr>
          <w:p>
            <w:pPr>
              <w:widowControl/>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法官助理</w:t>
            </w:r>
          </w:p>
        </w:tc>
        <w:tc>
          <w:tcPr>
            <w:tcW w:w="3761" w:type="dxa"/>
            <w:gridSpan w:val="3"/>
            <w:vAlign w:val="center"/>
          </w:tcPr>
          <w:p>
            <w:pPr>
              <w:widowControl/>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初级</w:t>
            </w:r>
          </w:p>
        </w:tc>
        <w:tc>
          <w:tcPr>
            <w:tcW w:w="3759" w:type="dxa"/>
            <w:gridSpan w:val="3"/>
            <w:vAlign w:val="center"/>
          </w:tcPr>
          <w:p>
            <w:pPr>
              <w:widowControl/>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中级</w:t>
            </w:r>
          </w:p>
        </w:tc>
        <w:tc>
          <w:tcPr>
            <w:tcW w:w="4021" w:type="dxa"/>
            <w:gridSpan w:val="3"/>
            <w:vAlign w:val="center"/>
          </w:tcPr>
          <w:p>
            <w:pPr>
              <w:widowControl/>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3019" w:type="dxa"/>
            <w:gridSpan w:val="2"/>
            <w:vAlign w:val="center"/>
          </w:tcPr>
          <w:p>
            <w:pPr>
              <w:widowControl/>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级别</w:t>
            </w:r>
          </w:p>
        </w:tc>
        <w:tc>
          <w:tcPr>
            <w:tcW w:w="1077" w:type="dxa"/>
            <w:vAlign w:val="center"/>
          </w:tcPr>
          <w:p>
            <w:pPr>
              <w:widowControl/>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九</w:t>
            </w:r>
          </w:p>
        </w:tc>
        <w:tc>
          <w:tcPr>
            <w:tcW w:w="1342" w:type="dxa"/>
            <w:vAlign w:val="center"/>
          </w:tcPr>
          <w:p>
            <w:pPr>
              <w:widowControl/>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八</w:t>
            </w:r>
          </w:p>
        </w:tc>
        <w:tc>
          <w:tcPr>
            <w:tcW w:w="1342" w:type="dxa"/>
            <w:vAlign w:val="center"/>
          </w:tcPr>
          <w:p>
            <w:pPr>
              <w:widowControl/>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七</w:t>
            </w:r>
          </w:p>
        </w:tc>
        <w:tc>
          <w:tcPr>
            <w:tcW w:w="1075" w:type="dxa"/>
            <w:vAlign w:val="center"/>
          </w:tcPr>
          <w:p>
            <w:pPr>
              <w:widowControl/>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六</w:t>
            </w:r>
          </w:p>
        </w:tc>
        <w:tc>
          <w:tcPr>
            <w:tcW w:w="1342" w:type="dxa"/>
            <w:vAlign w:val="center"/>
          </w:tcPr>
          <w:p>
            <w:pPr>
              <w:widowControl/>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五</w:t>
            </w:r>
          </w:p>
        </w:tc>
        <w:tc>
          <w:tcPr>
            <w:tcW w:w="1342" w:type="dxa"/>
            <w:vAlign w:val="center"/>
          </w:tcPr>
          <w:p>
            <w:pPr>
              <w:widowControl/>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四</w:t>
            </w:r>
          </w:p>
        </w:tc>
        <w:tc>
          <w:tcPr>
            <w:tcW w:w="1342" w:type="dxa"/>
            <w:vAlign w:val="center"/>
          </w:tcPr>
          <w:p>
            <w:pPr>
              <w:widowControl/>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三</w:t>
            </w:r>
          </w:p>
        </w:tc>
        <w:tc>
          <w:tcPr>
            <w:tcW w:w="1342" w:type="dxa"/>
            <w:vAlign w:val="center"/>
          </w:tcPr>
          <w:p>
            <w:pPr>
              <w:widowControl/>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二</w:t>
            </w:r>
          </w:p>
        </w:tc>
        <w:tc>
          <w:tcPr>
            <w:tcW w:w="1337" w:type="dxa"/>
            <w:vAlign w:val="center"/>
          </w:tcPr>
          <w:p>
            <w:pPr>
              <w:widowControl/>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057" w:type="dxa"/>
            <w:vMerge w:val="restart"/>
            <w:vAlign w:val="center"/>
          </w:tcPr>
          <w:p>
            <w:pPr>
              <w:widowControl/>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工资构成</w:t>
            </w:r>
          </w:p>
        </w:tc>
        <w:tc>
          <w:tcPr>
            <w:tcW w:w="962" w:type="dxa"/>
            <w:vAlign w:val="center"/>
          </w:tcPr>
          <w:p>
            <w:pPr>
              <w:widowControl/>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职位</w:t>
            </w:r>
          </w:p>
          <w:p>
            <w:pPr>
              <w:widowControl/>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工资</w:t>
            </w:r>
          </w:p>
        </w:tc>
        <w:tc>
          <w:tcPr>
            <w:tcW w:w="1077"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1884</w:t>
            </w:r>
          </w:p>
        </w:tc>
        <w:tc>
          <w:tcPr>
            <w:tcW w:w="1342"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1941</w:t>
            </w:r>
          </w:p>
        </w:tc>
        <w:tc>
          <w:tcPr>
            <w:tcW w:w="1342"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1998</w:t>
            </w:r>
          </w:p>
        </w:tc>
        <w:tc>
          <w:tcPr>
            <w:tcW w:w="1075"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2169</w:t>
            </w:r>
          </w:p>
        </w:tc>
        <w:tc>
          <w:tcPr>
            <w:tcW w:w="1342"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2339</w:t>
            </w:r>
          </w:p>
        </w:tc>
        <w:tc>
          <w:tcPr>
            <w:tcW w:w="1342"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2509</w:t>
            </w:r>
          </w:p>
        </w:tc>
        <w:tc>
          <w:tcPr>
            <w:tcW w:w="1342"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2848</w:t>
            </w:r>
          </w:p>
        </w:tc>
        <w:tc>
          <w:tcPr>
            <w:tcW w:w="1342"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3186</w:t>
            </w:r>
          </w:p>
        </w:tc>
        <w:tc>
          <w:tcPr>
            <w:tcW w:w="1337"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3524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057" w:type="dxa"/>
            <w:vMerge w:val="continue"/>
            <w:vAlign w:val="center"/>
          </w:tcPr>
          <w:p>
            <w:pPr>
              <w:widowControl/>
              <w:spacing w:line="300" w:lineRule="exact"/>
              <w:jc w:val="center"/>
              <w:rPr>
                <w:rFonts w:ascii="宋体" w:hAnsi="宋体" w:eastAsia="宋体" w:cs="宋体"/>
                <w:bCs/>
                <w:kern w:val="0"/>
                <w:sz w:val="21"/>
                <w:szCs w:val="21"/>
              </w:rPr>
            </w:pPr>
          </w:p>
        </w:tc>
        <w:tc>
          <w:tcPr>
            <w:tcW w:w="962" w:type="dxa"/>
            <w:vAlign w:val="center"/>
          </w:tcPr>
          <w:p>
            <w:pPr>
              <w:widowControl/>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绩效</w:t>
            </w:r>
          </w:p>
          <w:p>
            <w:pPr>
              <w:widowControl/>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工资</w:t>
            </w:r>
          </w:p>
        </w:tc>
        <w:tc>
          <w:tcPr>
            <w:tcW w:w="1077"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1376</w:t>
            </w:r>
          </w:p>
        </w:tc>
        <w:tc>
          <w:tcPr>
            <w:tcW w:w="1342"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1399</w:t>
            </w:r>
          </w:p>
        </w:tc>
        <w:tc>
          <w:tcPr>
            <w:tcW w:w="1342"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1422</w:t>
            </w:r>
          </w:p>
        </w:tc>
        <w:tc>
          <w:tcPr>
            <w:tcW w:w="1075"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1491</w:t>
            </w:r>
          </w:p>
        </w:tc>
        <w:tc>
          <w:tcPr>
            <w:tcW w:w="1342"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1561</w:t>
            </w:r>
          </w:p>
        </w:tc>
        <w:tc>
          <w:tcPr>
            <w:tcW w:w="1342"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1631</w:t>
            </w:r>
          </w:p>
        </w:tc>
        <w:tc>
          <w:tcPr>
            <w:tcW w:w="1342"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1772</w:t>
            </w:r>
          </w:p>
        </w:tc>
        <w:tc>
          <w:tcPr>
            <w:tcW w:w="1342"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1914</w:t>
            </w:r>
          </w:p>
        </w:tc>
        <w:tc>
          <w:tcPr>
            <w:tcW w:w="1337"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2056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057" w:type="dxa"/>
            <w:vMerge w:val="continue"/>
            <w:vAlign w:val="center"/>
          </w:tcPr>
          <w:p>
            <w:pPr>
              <w:widowControl/>
              <w:spacing w:line="300" w:lineRule="exact"/>
              <w:jc w:val="center"/>
              <w:rPr>
                <w:rFonts w:ascii="宋体" w:hAnsi="宋体" w:eastAsia="宋体" w:cs="宋体"/>
                <w:bCs/>
                <w:kern w:val="0"/>
                <w:sz w:val="21"/>
                <w:szCs w:val="21"/>
              </w:rPr>
            </w:pPr>
          </w:p>
        </w:tc>
        <w:tc>
          <w:tcPr>
            <w:tcW w:w="962" w:type="dxa"/>
            <w:vAlign w:val="center"/>
          </w:tcPr>
          <w:p>
            <w:pPr>
              <w:widowControl/>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工资</w:t>
            </w:r>
          </w:p>
          <w:p>
            <w:pPr>
              <w:widowControl/>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总额</w:t>
            </w:r>
          </w:p>
        </w:tc>
        <w:tc>
          <w:tcPr>
            <w:tcW w:w="1077"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3260</w:t>
            </w:r>
          </w:p>
        </w:tc>
        <w:tc>
          <w:tcPr>
            <w:tcW w:w="1342"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3340</w:t>
            </w:r>
          </w:p>
        </w:tc>
        <w:tc>
          <w:tcPr>
            <w:tcW w:w="1342"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3420</w:t>
            </w:r>
          </w:p>
        </w:tc>
        <w:tc>
          <w:tcPr>
            <w:tcW w:w="1075"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3660</w:t>
            </w:r>
          </w:p>
        </w:tc>
        <w:tc>
          <w:tcPr>
            <w:tcW w:w="1342"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3900</w:t>
            </w:r>
          </w:p>
        </w:tc>
        <w:tc>
          <w:tcPr>
            <w:tcW w:w="1342"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4140</w:t>
            </w:r>
          </w:p>
        </w:tc>
        <w:tc>
          <w:tcPr>
            <w:tcW w:w="1342"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4620</w:t>
            </w:r>
          </w:p>
        </w:tc>
        <w:tc>
          <w:tcPr>
            <w:tcW w:w="1342"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5100</w:t>
            </w:r>
          </w:p>
        </w:tc>
        <w:tc>
          <w:tcPr>
            <w:tcW w:w="1337"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5580</w:t>
            </w:r>
          </w:p>
        </w:tc>
      </w:tr>
    </w:tbl>
    <w:p>
      <w:pPr>
        <w:widowControl/>
        <w:spacing w:line="300" w:lineRule="exact"/>
        <w:rPr>
          <w:rFonts w:ascii="宋体" w:hAnsi="宋体" w:eastAsia="宋体" w:cs="宋体"/>
          <w:bCs/>
          <w:kern w:val="0"/>
          <w:sz w:val="21"/>
          <w:szCs w:val="21"/>
        </w:rPr>
      </w:pPr>
    </w:p>
    <w:p>
      <w:pPr>
        <w:widowControl/>
        <w:spacing w:line="320" w:lineRule="exact"/>
        <w:ind w:left="31680" w:hanging="720" w:hangingChars="300"/>
        <w:jc w:val="left"/>
        <w:rPr>
          <w:rFonts w:ascii="宋体" w:hAnsi="宋体" w:eastAsia="宋体" w:cs="宋体"/>
          <w:kern w:val="0"/>
          <w:sz w:val="24"/>
          <w:szCs w:val="24"/>
        </w:rPr>
      </w:pPr>
      <w:r>
        <w:rPr>
          <w:rFonts w:hint="eastAsia" w:ascii="宋体" w:hAnsi="宋体" w:eastAsia="宋体" w:cs="宋体"/>
          <w:kern w:val="0"/>
          <w:sz w:val="24"/>
          <w:szCs w:val="24"/>
        </w:rPr>
        <w:t>注：</w:t>
      </w:r>
      <w:r>
        <w:rPr>
          <w:rFonts w:ascii="宋体" w:hAnsi="宋体" w:eastAsia="宋体" w:cs="宋体"/>
          <w:kern w:val="0"/>
          <w:sz w:val="24"/>
          <w:szCs w:val="24"/>
        </w:rPr>
        <w:t>1.</w:t>
      </w:r>
      <w:r>
        <w:rPr>
          <w:rFonts w:hint="eastAsia" w:ascii="宋体" w:hAnsi="宋体" w:eastAsia="宋体" w:cs="宋体"/>
          <w:kern w:val="0"/>
          <w:sz w:val="24"/>
          <w:szCs w:val="24"/>
        </w:rPr>
        <w:t>此表合同制法官助理以目前人力市场价格、相当学历机关事业单位工作人员收入和阳江市直机关合同制职员工资为参照标准，合同制法官助理实行分级管理，共设置九级，其中</w:t>
      </w:r>
      <w:r>
        <w:rPr>
          <w:rFonts w:ascii="宋体" w:hAnsi="宋体" w:eastAsia="宋体" w:cs="宋体"/>
          <w:kern w:val="0"/>
          <w:sz w:val="24"/>
          <w:szCs w:val="24"/>
        </w:rPr>
        <w:t>1</w:t>
      </w:r>
      <w:r>
        <w:rPr>
          <w:rFonts w:hint="eastAsia" w:ascii="宋体" w:hAnsi="宋体" w:eastAsia="宋体" w:cs="宋体"/>
          <w:kern w:val="0"/>
          <w:sz w:val="24"/>
          <w:szCs w:val="24"/>
        </w:rPr>
        <w:t>至</w:t>
      </w:r>
      <w:r>
        <w:rPr>
          <w:rFonts w:ascii="宋体" w:hAnsi="宋体" w:eastAsia="宋体" w:cs="宋体"/>
          <w:kern w:val="0"/>
          <w:sz w:val="24"/>
          <w:szCs w:val="24"/>
        </w:rPr>
        <w:t>3</w:t>
      </w:r>
      <w:r>
        <w:rPr>
          <w:rFonts w:hint="eastAsia" w:ascii="宋体" w:hAnsi="宋体" w:eastAsia="宋体" w:cs="宋体"/>
          <w:kern w:val="0"/>
          <w:sz w:val="24"/>
          <w:szCs w:val="24"/>
        </w:rPr>
        <w:t>级为高级法官助理，</w:t>
      </w:r>
      <w:r>
        <w:rPr>
          <w:rFonts w:ascii="宋体" w:hAnsi="宋体" w:eastAsia="宋体" w:cs="宋体"/>
          <w:kern w:val="0"/>
          <w:sz w:val="24"/>
          <w:szCs w:val="24"/>
        </w:rPr>
        <w:t>4</w:t>
      </w:r>
      <w:r>
        <w:rPr>
          <w:rFonts w:hint="eastAsia" w:ascii="宋体" w:hAnsi="宋体" w:eastAsia="宋体" w:cs="宋体"/>
          <w:kern w:val="0"/>
          <w:sz w:val="24"/>
          <w:szCs w:val="24"/>
        </w:rPr>
        <w:t>至</w:t>
      </w:r>
      <w:r>
        <w:rPr>
          <w:rFonts w:ascii="宋体" w:hAnsi="宋体" w:eastAsia="宋体" w:cs="宋体"/>
          <w:kern w:val="0"/>
          <w:sz w:val="24"/>
          <w:szCs w:val="24"/>
        </w:rPr>
        <w:t>6</w:t>
      </w:r>
      <w:r>
        <w:rPr>
          <w:rFonts w:hint="eastAsia" w:ascii="宋体" w:hAnsi="宋体" w:eastAsia="宋体" w:cs="宋体"/>
          <w:kern w:val="0"/>
          <w:sz w:val="24"/>
          <w:szCs w:val="24"/>
        </w:rPr>
        <w:t>级为中级法官助理，</w:t>
      </w:r>
      <w:r>
        <w:rPr>
          <w:rFonts w:ascii="宋体" w:hAnsi="宋体" w:eastAsia="宋体" w:cs="宋体"/>
          <w:kern w:val="0"/>
          <w:sz w:val="24"/>
          <w:szCs w:val="24"/>
        </w:rPr>
        <w:t>7</w:t>
      </w:r>
      <w:r>
        <w:rPr>
          <w:rFonts w:hint="eastAsia" w:ascii="宋体" w:hAnsi="宋体" w:eastAsia="宋体" w:cs="宋体"/>
          <w:kern w:val="0"/>
          <w:sz w:val="24"/>
          <w:szCs w:val="24"/>
        </w:rPr>
        <w:t>至</w:t>
      </w:r>
      <w:r>
        <w:rPr>
          <w:rFonts w:ascii="宋体" w:hAnsi="宋体" w:eastAsia="宋体" w:cs="宋体"/>
          <w:kern w:val="0"/>
          <w:sz w:val="24"/>
          <w:szCs w:val="24"/>
        </w:rPr>
        <w:t>9</w:t>
      </w:r>
      <w:r>
        <w:rPr>
          <w:rFonts w:hint="eastAsia" w:ascii="宋体" w:hAnsi="宋体" w:eastAsia="宋体" w:cs="宋体"/>
          <w:kern w:val="0"/>
          <w:sz w:val="24"/>
          <w:szCs w:val="24"/>
        </w:rPr>
        <w:t>级为初级法官助理。</w:t>
      </w:r>
    </w:p>
    <w:p>
      <w:pPr>
        <w:widowControl/>
        <w:spacing w:line="320" w:lineRule="exact"/>
        <w:ind w:firstLine="480" w:firstLineChars="200"/>
        <w:jc w:val="left"/>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合同制法官助理试用期满考核合格的，本科学历以下的定为</w:t>
      </w:r>
      <w:r>
        <w:rPr>
          <w:rFonts w:ascii="宋体" w:hAnsi="宋体" w:eastAsia="宋体" w:cs="宋体"/>
          <w:kern w:val="0"/>
          <w:sz w:val="24"/>
          <w:szCs w:val="24"/>
        </w:rPr>
        <w:t>9</w:t>
      </w:r>
      <w:r>
        <w:rPr>
          <w:rFonts w:hint="eastAsia" w:ascii="宋体" w:hAnsi="宋体" w:eastAsia="宋体" w:cs="宋体"/>
          <w:kern w:val="0"/>
          <w:sz w:val="24"/>
          <w:szCs w:val="24"/>
        </w:rPr>
        <w:t>级法官助理；硕士研究生学历的定为</w:t>
      </w:r>
      <w:r>
        <w:rPr>
          <w:rFonts w:ascii="宋体" w:hAnsi="宋体" w:eastAsia="宋体" w:cs="宋体"/>
          <w:kern w:val="0"/>
          <w:sz w:val="24"/>
          <w:szCs w:val="24"/>
        </w:rPr>
        <w:t>8</w:t>
      </w:r>
      <w:r>
        <w:rPr>
          <w:rFonts w:hint="eastAsia" w:ascii="宋体" w:hAnsi="宋体" w:eastAsia="宋体" w:cs="宋体"/>
          <w:kern w:val="0"/>
          <w:sz w:val="24"/>
          <w:szCs w:val="24"/>
        </w:rPr>
        <w:t>级法官助理。</w:t>
      </w:r>
    </w:p>
    <w:p>
      <w:pPr>
        <w:widowControl/>
        <w:spacing w:line="320" w:lineRule="exact"/>
        <w:ind w:left="723" w:leftChars="151" w:hanging="240" w:hangingChars="100"/>
        <w:jc w:val="left"/>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合同制法官助理实行逐级晋升，晋升等级应当具备拟任等级所要求的思想政治素质、业务能力和任职年限等方面的条件和资格，在规定任职资格年限内的年度考核结果应均为合格及以上等次。初级法官助理每两年晋升一级，中级法官助理每三年晋升一级，高级法官助理每四年晋升一级。从</w:t>
      </w:r>
      <w:r>
        <w:rPr>
          <w:rFonts w:ascii="宋体" w:hAnsi="宋体" w:eastAsia="宋体" w:cs="宋体"/>
          <w:kern w:val="0"/>
          <w:sz w:val="24"/>
          <w:szCs w:val="24"/>
        </w:rPr>
        <w:t>7</w:t>
      </w:r>
      <w:r>
        <w:rPr>
          <w:rFonts w:hint="eastAsia" w:ascii="宋体" w:hAnsi="宋体" w:eastAsia="宋体" w:cs="宋体"/>
          <w:kern w:val="0"/>
          <w:sz w:val="24"/>
          <w:szCs w:val="24"/>
        </w:rPr>
        <w:t>级法官助理晋升为</w:t>
      </w:r>
      <w:r>
        <w:rPr>
          <w:rFonts w:ascii="宋体" w:hAnsi="宋体" w:eastAsia="宋体" w:cs="宋体"/>
          <w:kern w:val="0"/>
          <w:sz w:val="24"/>
          <w:szCs w:val="24"/>
        </w:rPr>
        <w:t>6</w:t>
      </w:r>
      <w:r>
        <w:rPr>
          <w:rFonts w:hint="eastAsia" w:ascii="宋体" w:hAnsi="宋体" w:eastAsia="宋体" w:cs="宋体"/>
          <w:kern w:val="0"/>
          <w:sz w:val="24"/>
          <w:szCs w:val="24"/>
        </w:rPr>
        <w:t>级法官助理需经晋级考试合格，并在</w:t>
      </w:r>
      <w:r>
        <w:rPr>
          <w:rFonts w:ascii="宋体" w:hAnsi="宋体" w:eastAsia="宋体" w:cs="宋体"/>
          <w:kern w:val="0"/>
          <w:sz w:val="24"/>
          <w:szCs w:val="24"/>
        </w:rPr>
        <w:t>80%</w:t>
      </w:r>
      <w:r>
        <w:rPr>
          <w:rFonts w:hint="eastAsia" w:ascii="宋体" w:hAnsi="宋体" w:eastAsia="宋体" w:cs="宋体"/>
          <w:kern w:val="0"/>
          <w:sz w:val="24"/>
          <w:szCs w:val="24"/>
        </w:rPr>
        <w:t>的比例内择优晋升，从</w:t>
      </w:r>
      <w:r>
        <w:rPr>
          <w:rFonts w:ascii="宋体" w:hAnsi="宋体" w:eastAsia="宋体" w:cs="宋体"/>
          <w:kern w:val="0"/>
          <w:sz w:val="24"/>
          <w:szCs w:val="24"/>
        </w:rPr>
        <w:t>4</w:t>
      </w:r>
      <w:r>
        <w:rPr>
          <w:rFonts w:hint="eastAsia" w:ascii="宋体" w:hAnsi="宋体" w:eastAsia="宋体" w:cs="宋体"/>
          <w:kern w:val="0"/>
          <w:sz w:val="24"/>
          <w:szCs w:val="24"/>
        </w:rPr>
        <w:t>级法官助理晋升为</w:t>
      </w:r>
      <w:r>
        <w:rPr>
          <w:rFonts w:ascii="宋体" w:hAnsi="宋体" w:eastAsia="宋体" w:cs="宋体"/>
          <w:kern w:val="0"/>
          <w:sz w:val="24"/>
          <w:szCs w:val="24"/>
        </w:rPr>
        <w:t>3</w:t>
      </w:r>
      <w:r>
        <w:rPr>
          <w:rFonts w:hint="eastAsia" w:ascii="宋体" w:hAnsi="宋体" w:eastAsia="宋体" w:cs="宋体"/>
          <w:kern w:val="0"/>
          <w:sz w:val="24"/>
          <w:szCs w:val="24"/>
        </w:rPr>
        <w:t>级法官助理需经晋级考试合格，并在</w:t>
      </w:r>
      <w:r>
        <w:rPr>
          <w:rFonts w:ascii="宋体" w:hAnsi="宋体" w:eastAsia="宋体" w:cs="宋体"/>
          <w:kern w:val="0"/>
          <w:sz w:val="24"/>
          <w:szCs w:val="24"/>
        </w:rPr>
        <w:t>50%</w:t>
      </w:r>
      <w:r>
        <w:rPr>
          <w:rFonts w:hint="eastAsia" w:ascii="宋体" w:hAnsi="宋体" w:eastAsia="宋体" w:cs="宋体"/>
          <w:kern w:val="0"/>
          <w:sz w:val="24"/>
          <w:szCs w:val="24"/>
        </w:rPr>
        <w:t>的比例限额内择优晋升。连续三年年度考核被评定为优秀等次的，可以适当缩减晋升年限，具体办法另行制定。</w:t>
      </w:r>
    </w:p>
    <w:p>
      <w:pPr>
        <w:widowControl/>
        <w:spacing w:line="320" w:lineRule="exact"/>
        <w:ind w:left="723" w:leftChars="151" w:hanging="240" w:hangingChars="100"/>
        <w:jc w:val="left"/>
        <w:rPr>
          <w:rFonts w:ascii="宋体" w:hAnsi="宋体" w:eastAsia="宋体" w:cs="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津贴、补贴（住房补贴、四大节日补贴、年终一个月基本工资补贴、计生奖）参照当地转正定级科员级公务员的</w:t>
      </w:r>
      <w:r>
        <w:rPr>
          <w:rFonts w:ascii="宋体" w:hAnsi="宋体" w:eastAsia="宋体" w:cs="宋体"/>
          <w:kern w:val="0"/>
          <w:sz w:val="24"/>
          <w:szCs w:val="24"/>
        </w:rPr>
        <w:t>70%</w:t>
      </w:r>
      <w:r>
        <w:rPr>
          <w:rFonts w:hint="eastAsia" w:ascii="宋体" w:hAnsi="宋体" w:eastAsia="宋体" w:cs="宋体"/>
          <w:kern w:val="0"/>
          <w:sz w:val="24"/>
          <w:szCs w:val="24"/>
        </w:rPr>
        <w:t>计发（公车补贴不计）。</w:t>
      </w:r>
    </w:p>
    <w:p>
      <w:pPr>
        <w:widowControl/>
        <w:spacing w:line="320" w:lineRule="exact"/>
        <w:ind w:firstLine="480" w:firstLineChars="200"/>
        <w:jc w:val="left"/>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rPr>
        <w:t>“五险一金”按国家有关法律政策规定办理。</w:t>
      </w:r>
    </w:p>
    <w:p>
      <w:pPr>
        <w:widowControl/>
        <w:spacing w:line="320" w:lineRule="exact"/>
        <w:ind w:firstLine="480" w:firstLineChars="200"/>
        <w:jc w:val="left"/>
        <w:rPr>
          <w:rFonts w:ascii="宋体" w:hAnsi="宋体" w:eastAsia="宋体" w:cs="宋体"/>
          <w:kern w:val="0"/>
          <w:sz w:val="24"/>
          <w:szCs w:val="24"/>
        </w:rPr>
      </w:pPr>
      <w:r>
        <w:rPr>
          <w:rFonts w:ascii="宋体" w:hAnsi="宋体" w:eastAsia="宋体" w:cs="宋体"/>
          <w:kern w:val="0"/>
          <w:sz w:val="24"/>
          <w:szCs w:val="24"/>
        </w:rPr>
        <w:t>6.</w:t>
      </w:r>
      <w:r>
        <w:rPr>
          <w:rFonts w:hint="eastAsia" w:ascii="宋体" w:hAnsi="宋体" w:eastAsia="宋体" w:cs="宋体"/>
          <w:kern w:val="0"/>
          <w:sz w:val="24"/>
          <w:szCs w:val="24"/>
        </w:rPr>
        <w:t>此标准由区法院、人社局、财政局定期根据我区相关工资标准及时调整。</w:t>
      </w:r>
    </w:p>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黑体"/>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080F3C52" w:usb2="00000016" w:usb3="00000000" w:csb0="0004001F" w:csb1="00000000"/>
  </w:font>
  <w:font w:name="仿宋">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81019F"/>
    <w:rsid w:val="11810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2018-03-19T06:39:00Z</dcterms:created>
  <dc:creator>Administrator</dc:creator>
  <cp:lastModifiedBy>Administrator</cp:lastModifiedBy>
  <dcterms:modified xsi:type="dcterms:W3CDTF">2018-03-19T06:53:41Z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