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0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121"/>
        <w:gridCol w:w="1984"/>
        <w:gridCol w:w="709"/>
        <w:gridCol w:w="4111"/>
        <w:gridCol w:w="850"/>
        <w:gridCol w:w="1276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90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附件1</w:t>
            </w:r>
            <w:bookmarkStart w:id="0" w:name="_GoBack"/>
            <w:bookmarkEnd w:id="0"/>
          </w:p>
          <w:p>
            <w:pPr>
              <w:spacing w:after="240" w:afterLines="100" w:line="360" w:lineRule="atLeas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天津城市建设管理职业技术学院</w:t>
            </w:r>
            <w:r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</w:rPr>
              <w:t>8年上半年招聘计划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简介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（教师岗）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从事风景园林专业教学科研工作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风景园林、艺术设计、设计艺术学（装饰艺术设计方向）及相关专业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全日制普通高等院校毕业，本科所学专业与研究生所学专业相近。具有中级及以上职称且具有五年以上本专业工作经验者，学历可放宽至本科，学位可放宽至学士及以上，年龄可放宽至45岁以下。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（教师岗）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从事工程造价专业学科教学科研工作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工程造价、工程管理、土木工程、建筑技术科学、结构工程、管理科学与工程及相关专业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全日制普通高等院校毕业。具有中级及以上职称或注册造价师、一级建造师者，学历可放宽至本科，学位可放宽至学士及以上，年龄放宽至45岁以下。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（教师岗）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从事会计专业教学科研工作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会计学、管理会计、成本会计、会计硕士及相关专业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全日制普通高等院校毕业。具有中级及以上职称者，学历可放宽至本科，学位可放宽至学士及以上，年龄可放宽至45岁以下。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（教师岗）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从事思想政治理论课教学科研工作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法理学、宪法学与行政法学、中共党史、马克思主义理论与思想政治教育、马克思主义中国化研究及相关专业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中共党员，全日制普通高等院校毕业。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从事辅导员工作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教育学类、心理学类、思想政治教育、语言类及相关专业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中共党员，全日制普通高等院校毕业。具有五年以上高校学生工作经历者，专业不限，学历可放宽至本科，学位可放宽至学士及以上。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从事会计核算、财务管理相关工作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会计学、财务管理、审计学及相关专业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全日制普通高等院校毕业。具有五年以上相关工作经验者，学历可放宽至本科，学位可放宽至学士及以上。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0512"/>
    <w:rsid w:val="05FE05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2018-05-28T12:59:00Z</dcterms:created>
  <dc:creator>天空</dc:creator>
  <cp:lastModifiedBy>天空</cp:lastModifiedBy>
  <dcterms:modified xsi:type="dcterms:W3CDTF">2018-05-28T13:00:31Z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