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华文仿宋" w:hAnsi="华文仿宋" w:eastAsia="华文仿宋" w:cs="华文仿宋"/>
          <w:i w:val="0"/>
          <w:caps w:val="0"/>
          <w:color w:val="000000"/>
          <w:spacing w:val="0"/>
          <w:kern w:val="0"/>
          <w:sz w:val="24"/>
          <w:szCs w:val="24"/>
          <w:shd w:val="clear" w:fill="D3D3D3"/>
          <w:lang w:val="en-US" w:eastAsia="zh-CN" w:bidi="ar"/>
        </w:rPr>
        <w:t>招聘条件及相应岗位：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drawing>
          <wp:inline distT="0" distB="0" distL="114300" distR="114300">
            <wp:extent cx="6249035" cy="2470150"/>
            <wp:effectExtent l="0" t="0" r="1841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9035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730AD"/>
    <w:rsid w:val="07F7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2018-07-26T02:52:00Z</dcterms:created>
  <dc:creator>向青釉</dc:creator>
  <cp:lastModifiedBy>向青釉</cp:lastModifiedBy>
  <dcterms:modified xsi:type="dcterms:W3CDTF">2018-07-26T02:57:58Z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