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360"/>
        <w:jc w:val="both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宁波教育学院事业编制工作人员招聘单位、岗位、人数、专业、学历和范围及资格条件</w:t>
      </w:r>
    </w:p>
    <w:bookmarkEnd w:id="0"/>
    <w:tbl>
      <w:tblPr>
        <w:tblW w:w="8820" w:type="dxa"/>
        <w:jc w:val="center"/>
        <w:tblInd w:w="-15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15"/>
        <w:gridCol w:w="1830"/>
        <w:gridCol w:w="690"/>
        <w:gridCol w:w="450"/>
        <w:gridCol w:w="1785"/>
        <w:gridCol w:w="660"/>
        <w:gridCol w:w="21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6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名称</w:t>
            </w:r>
          </w:p>
        </w:tc>
        <w:tc>
          <w:tcPr>
            <w:tcW w:w="18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职责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17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招聘专业及学历（学位）要求</w:t>
            </w:r>
          </w:p>
        </w:tc>
        <w:tc>
          <w:tcPr>
            <w:tcW w:w="6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范畴</w:t>
            </w:r>
          </w:p>
        </w:tc>
        <w:tc>
          <w:tcPr>
            <w:tcW w:w="21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学生处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男辅导员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从事学生思想政治教育工作；需入驻杭州湾校区男生宿舍。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专业不限；具有硕士研究生及以上学历（学位）。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面向全国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中共正式党员；有2年及以上高校（含高职）工作经历；年龄35周岁以下。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女辅导员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从事学生思想政治教育工作；需入驻杭州湾校区女生宿舍。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专业不限；具有硕士研究生及以上学历（学位）。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bdr w:val="none" w:color="auto" w:sz="0" w:space="0"/>
              </w:rPr>
              <w:t>中共正式党员；有2年及以上高校（含高职）工作经历；年龄35周岁以下。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360"/>
        <w:jc w:val="both"/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注：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1、</w:t>
      </w: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学历学位的取得时间和年龄、工作经历的计算截止时间均为公告发布之日。国（境）外留学回国（境）人员凭国家教育部出具的国（境）外学历、学位认证书。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12D35"/>
    <w:rsid w:val="6B212D3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2018-08-27T03:22:00Z</dcterms:created>
  <dc:creator>zrt</dc:creator>
  <cp:lastModifiedBy>zrt</cp:lastModifiedBy>
  <dcterms:modified xsi:type="dcterms:W3CDTF">2018-08-27T03:23:26Z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