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rPr>
        <w:t>附件</w:t>
      </w:r>
      <w:r>
        <w:rPr>
          <w:rFonts w:hint="eastAsia" w:ascii="Times New Roman" w:hAnsi="Times New Roman" w:eastAsia="方正黑体_GBK" w:cs="Times New Roman"/>
          <w:b w:val="0"/>
          <w:bCs w:val="0"/>
          <w:color w:val="auto"/>
          <w:kern w:val="0"/>
          <w:sz w:val="32"/>
          <w:szCs w:val="32"/>
          <w:lang w:val="en-US" w:eastAsia="zh-CN"/>
        </w:rPr>
        <w:t>2</w:t>
      </w:r>
    </w:p>
    <w:p>
      <w:pPr>
        <w:rPr>
          <w:rFonts w:hint="default" w:ascii="Times New Roman" w:hAnsi="Times New Roman" w:eastAsia="方正黑体_GBK" w:cs="Times New Roman"/>
          <w:b w:val="0"/>
          <w:bCs w:val="0"/>
          <w:color w:val="auto"/>
          <w:kern w:val="0"/>
          <w:sz w:val="32"/>
          <w:szCs w:val="32"/>
          <w:lang w:val="en-US" w:eastAsia="zh-CN"/>
        </w:rPr>
      </w:pPr>
    </w:p>
    <w:p>
      <w:pPr>
        <w:pStyle w:val="4"/>
        <w:spacing w:before="0" w:beforeLines="0" w:beforeAutospacing="0" w:after="0" w:afterLines="0" w:afterAutospacing="0" w:line="500" w:lineRule="exact"/>
        <w:ind w:right="-59"/>
        <w:rPr>
          <w:rFonts w:hint="default" w:ascii="Times New Roman" w:hAnsi="Times New Roman" w:eastAsia="方正仿宋_GBK" w:cs="Times New Roman"/>
          <w:b w:val="0"/>
          <w:bCs w:val="0"/>
          <w:color w:val="auto"/>
          <w:sz w:val="44"/>
          <w:szCs w:val="44"/>
        </w:rPr>
      </w:pPr>
      <w:r>
        <w:rPr>
          <w:rFonts w:hint="default" w:ascii="方正小标宋简体" w:hAnsi="方正小标宋简体" w:eastAsia="方正小标宋简体" w:cs="方正小标宋简体"/>
          <w:color w:val="000000"/>
          <w:kern w:val="2"/>
          <w:sz w:val="36"/>
          <w:szCs w:val="36"/>
          <w:lang w:val="en-US" w:eastAsia="zh-CN" w:bidi="ar-SA"/>
        </w:rPr>
        <w:t xml:space="preserve"> </w:t>
      </w:r>
      <w:r>
        <w:rPr>
          <w:rFonts w:hint="eastAsia" w:ascii="方正小标宋简体" w:hAnsi="方正小标宋简体" w:eastAsia="方正小标宋简体" w:cs="方正小标宋简体"/>
          <w:color w:val="000000"/>
          <w:kern w:val="2"/>
          <w:sz w:val="36"/>
          <w:szCs w:val="36"/>
          <w:lang w:val="en-US" w:eastAsia="zh-CN" w:bidi="ar-SA"/>
        </w:rPr>
        <w:t>渝北区面向2018年应届渝北籍免费师范生考核招聘教育事业单位工作人员岗位一览表</w:t>
      </w:r>
    </w:p>
    <w:tbl>
      <w:tblPr>
        <w:tblStyle w:val="3"/>
        <w:tblpPr w:leftFromText="180" w:rightFromText="180" w:vertAnchor="text" w:horzAnchor="page" w:tblpX="1100" w:tblpY="448"/>
        <w:tblOverlap w:val="never"/>
        <w:tblW w:w="14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8"/>
        <w:gridCol w:w="1237"/>
        <w:gridCol w:w="705"/>
        <w:gridCol w:w="1935"/>
        <w:gridCol w:w="1680"/>
        <w:gridCol w:w="2235"/>
        <w:gridCol w:w="2340"/>
        <w:gridCol w:w="112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720" w:type="dxa"/>
            <w:vMerge w:val="restart"/>
            <w:vAlign w:val="center"/>
          </w:tcPr>
          <w:p>
            <w:pPr>
              <w:widowControl/>
              <w:jc w:val="center"/>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序号</w:t>
            </w:r>
          </w:p>
        </w:tc>
        <w:tc>
          <w:tcPr>
            <w:tcW w:w="2168" w:type="dxa"/>
            <w:vMerge w:val="restart"/>
            <w:vAlign w:val="center"/>
          </w:tcPr>
          <w:p>
            <w:pPr>
              <w:widowControl/>
              <w:jc w:val="center"/>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招聘单位</w:t>
            </w:r>
          </w:p>
        </w:tc>
        <w:tc>
          <w:tcPr>
            <w:tcW w:w="1237" w:type="dxa"/>
            <w:vMerge w:val="restart"/>
            <w:vAlign w:val="center"/>
          </w:tcPr>
          <w:p>
            <w:pPr>
              <w:widowControl/>
              <w:jc w:val="center"/>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招聘岗位</w:t>
            </w:r>
          </w:p>
        </w:tc>
        <w:tc>
          <w:tcPr>
            <w:tcW w:w="705" w:type="dxa"/>
            <w:vMerge w:val="restart"/>
            <w:vAlign w:val="center"/>
          </w:tcPr>
          <w:p>
            <w:pPr>
              <w:widowControl/>
              <w:jc w:val="center"/>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招聘名额</w:t>
            </w:r>
          </w:p>
        </w:tc>
        <w:tc>
          <w:tcPr>
            <w:tcW w:w="1935" w:type="dxa"/>
            <w:vMerge w:val="restart"/>
            <w:vAlign w:val="center"/>
          </w:tcPr>
          <w:p>
            <w:pPr>
              <w:widowControl/>
              <w:jc w:val="center"/>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岗位类别及等级</w:t>
            </w:r>
          </w:p>
        </w:tc>
        <w:tc>
          <w:tcPr>
            <w:tcW w:w="8190" w:type="dxa"/>
            <w:gridSpan w:val="5"/>
            <w:vAlign w:val="center"/>
          </w:tcPr>
          <w:p>
            <w:pPr>
              <w:widowControl/>
              <w:jc w:val="center"/>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720" w:type="dxa"/>
            <w:vMerge w:val="continue"/>
            <w:vAlign w:val="center"/>
          </w:tcPr>
          <w:p>
            <w:pPr>
              <w:widowControl/>
              <w:jc w:val="left"/>
              <w:rPr>
                <w:rFonts w:hint="default" w:ascii="Times New Roman" w:hAnsi="Times New Roman" w:eastAsia="方正仿宋_GBK" w:cs="Times New Roman"/>
                <w:b/>
                <w:bCs/>
                <w:color w:val="auto"/>
                <w:kern w:val="0"/>
                <w:sz w:val="24"/>
                <w:szCs w:val="24"/>
              </w:rPr>
            </w:pPr>
          </w:p>
        </w:tc>
        <w:tc>
          <w:tcPr>
            <w:tcW w:w="2168" w:type="dxa"/>
            <w:vMerge w:val="continue"/>
            <w:vAlign w:val="center"/>
          </w:tcPr>
          <w:p>
            <w:pPr>
              <w:widowControl/>
              <w:jc w:val="left"/>
              <w:rPr>
                <w:rFonts w:hint="default" w:ascii="Times New Roman" w:hAnsi="Times New Roman" w:eastAsia="方正仿宋_GBK" w:cs="Times New Roman"/>
                <w:b/>
                <w:bCs/>
                <w:color w:val="auto"/>
                <w:kern w:val="0"/>
                <w:sz w:val="24"/>
                <w:szCs w:val="24"/>
              </w:rPr>
            </w:pPr>
          </w:p>
        </w:tc>
        <w:tc>
          <w:tcPr>
            <w:tcW w:w="1237" w:type="dxa"/>
            <w:vMerge w:val="continue"/>
            <w:vAlign w:val="center"/>
          </w:tcPr>
          <w:p>
            <w:pPr>
              <w:widowControl/>
              <w:jc w:val="left"/>
              <w:rPr>
                <w:rFonts w:hint="default" w:ascii="Times New Roman" w:hAnsi="Times New Roman" w:eastAsia="方正仿宋_GBK" w:cs="Times New Roman"/>
                <w:b/>
                <w:bCs/>
                <w:color w:val="auto"/>
                <w:kern w:val="0"/>
                <w:sz w:val="24"/>
                <w:szCs w:val="24"/>
              </w:rPr>
            </w:pPr>
          </w:p>
        </w:tc>
        <w:tc>
          <w:tcPr>
            <w:tcW w:w="705" w:type="dxa"/>
            <w:vMerge w:val="continue"/>
            <w:vAlign w:val="center"/>
          </w:tcPr>
          <w:p>
            <w:pPr>
              <w:widowControl/>
              <w:jc w:val="left"/>
              <w:rPr>
                <w:rFonts w:hint="default" w:ascii="Times New Roman" w:hAnsi="Times New Roman" w:eastAsia="方正仿宋_GBK" w:cs="Times New Roman"/>
                <w:b/>
                <w:bCs/>
                <w:color w:val="auto"/>
                <w:kern w:val="0"/>
                <w:sz w:val="24"/>
                <w:szCs w:val="24"/>
              </w:rPr>
            </w:pPr>
          </w:p>
        </w:tc>
        <w:tc>
          <w:tcPr>
            <w:tcW w:w="1935" w:type="dxa"/>
            <w:vMerge w:val="continue"/>
            <w:vAlign w:val="center"/>
          </w:tcPr>
          <w:p>
            <w:pPr>
              <w:widowControl/>
              <w:jc w:val="left"/>
              <w:rPr>
                <w:rFonts w:hint="default" w:ascii="Times New Roman" w:hAnsi="Times New Roman" w:eastAsia="方正仿宋_GBK" w:cs="Times New Roman"/>
                <w:b/>
                <w:bCs/>
                <w:color w:val="auto"/>
                <w:kern w:val="0"/>
                <w:sz w:val="24"/>
                <w:szCs w:val="24"/>
              </w:rPr>
            </w:pPr>
          </w:p>
        </w:tc>
        <w:tc>
          <w:tcPr>
            <w:tcW w:w="1680" w:type="dxa"/>
            <w:vAlign w:val="center"/>
          </w:tcPr>
          <w:p>
            <w:pPr>
              <w:widowControl/>
              <w:jc w:val="center"/>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学历（学位）</w:t>
            </w:r>
          </w:p>
        </w:tc>
        <w:tc>
          <w:tcPr>
            <w:tcW w:w="2235" w:type="dxa"/>
            <w:vAlign w:val="center"/>
          </w:tcPr>
          <w:p>
            <w:pPr>
              <w:widowControl/>
              <w:jc w:val="center"/>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专业</w:t>
            </w:r>
          </w:p>
        </w:tc>
        <w:tc>
          <w:tcPr>
            <w:tcW w:w="2340" w:type="dxa"/>
            <w:vAlign w:val="center"/>
          </w:tcPr>
          <w:p>
            <w:pPr>
              <w:widowControl/>
              <w:jc w:val="center"/>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其它</w:t>
            </w:r>
          </w:p>
        </w:tc>
        <w:tc>
          <w:tcPr>
            <w:tcW w:w="1125" w:type="dxa"/>
            <w:vAlign w:val="center"/>
          </w:tcPr>
          <w:p>
            <w:pPr>
              <w:widowControl/>
              <w:jc w:val="center"/>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年龄</w:t>
            </w:r>
          </w:p>
        </w:tc>
        <w:tc>
          <w:tcPr>
            <w:tcW w:w="810" w:type="dxa"/>
            <w:vAlign w:val="center"/>
          </w:tcPr>
          <w:p>
            <w:pPr>
              <w:widowControl/>
              <w:jc w:val="center"/>
              <w:rPr>
                <w:rFonts w:hint="eastAsia" w:ascii="Times New Roman" w:hAnsi="Times New Roman" w:eastAsia="方正仿宋_GBK" w:cs="Times New Roman"/>
                <w:b/>
                <w:bCs/>
                <w:color w:val="auto"/>
                <w:kern w:val="0"/>
                <w:sz w:val="24"/>
                <w:szCs w:val="24"/>
                <w:lang w:eastAsia="zh-CN"/>
              </w:rPr>
            </w:pPr>
            <w:r>
              <w:rPr>
                <w:rFonts w:hint="eastAsia" w:ascii="Times New Roman" w:hAnsi="Times New Roman" w:eastAsia="方正仿宋_GBK" w:cs="Times New Roman"/>
                <w:b/>
                <w:bCs/>
                <w:color w:val="auto"/>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20"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1</w:t>
            </w:r>
          </w:p>
        </w:tc>
        <w:tc>
          <w:tcPr>
            <w:tcW w:w="2168" w:type="dxa"/>
            <w:vMerge w:val="restart"/>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渝北区实验中学校</w:t>
            </w:r>
          </w:p>
        </w:tc>
        <w:tc>
          <w:tcPr>
            <w:tcW w:w="1237"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思想政治教师</w:t>
            </w:r>
          </w:p>
        </w:tc>
        <w:tc>
          <w:tcPr>
            <w:tcW w:w="705"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1</w:t>
            </w:r>
          </w:p>
        </w:tc>
        <w:tc>
          <w:tcPr>
            <w:tcW w:w="1935"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专技12级</w:t>
            </w:r>
          </w:p>
        </w:tc>
        <w:tc>
          <w:tcPr>
            <w:tcW w:w="1680" w:type="dxa"/>
            <w:vMerge w:val="restart"/>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全日制普通高校本科以上学历</w:t>
            </w:r>
            <w:r>
              <w:rPr>
                <w:rFonts w:hint="eastAsia" w:ascii="Times New Roman" w:hAnsi="Times New Roman" w:eastAsia="方正仿宋_GBK" w:cs="Times New Roman"/>
                <w:b w:val="0"/>
                <w:bCs w:val="0"/>
                <w:color w:val="auto"/>
                <w:kern w:val="0"/>
                <w:sz w:val="24"/>
                <w:szCs w:val="24"/>
                <w:lang w:eastAsia="zh-CN"/>
              </w:rPr>
              <w:t>及</w:t>
            </w:r>
            <w:r>
              <w:rPr>
                <w:rFonts w:hint="default" w:ascii="Times New Roman" w:hAnsi="Times New Roman" w:eastAsia="方正仿宋_GBK" w:cs="Times New Roman"/>
                <w:b w:val="0"/>
                <w:bCs w:val="0"/>
                <w:color w:val="auto"/>
                <w:kern w:val="0"/>
                <w:sz w:val="24"/>
                <w:szCs w:val="24"/>
              </w:rPr>
              <w:t>相应学位</w:t>
            </w:r>
          </w:p>
        </w:tc>
        <w:tc>
          <w:tcPr>
            <w:tcW w:w="2235" w:type="dxa"/>
            <w:vAlign w:val="center"/>
          </w:tcPr>
          <w:p>
            <w:pPr>
              <w:widowControl/>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哲学类、政治学类、马克思主义理论类</w:t>
            </w:r>
          </w:p>
        </w:tc>
        <w:tc>
          <w:tcPr>
            <w:tcW w:w="2340" w:type="dxa"/>
            <w:vMerge w:val="restart"/>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教育部直属师范大学</w:t>
            </w:r>
            <w:r>
              <w:rPr>
                <w:rFonts w:hint="eastAsia" w:ascii="Times New Roman" w:hAnsi="Times New Roman" w:eastAsia="方正仿宋_GBK" w:cs="Times New Roman"/>
                <w:b w:val="0"/>
                <w:bCs w:val="0"/>
                <w:color w:val="auto"/>
                <w:kern w:val="0"/>
                <w:sz w:val="24"/>
                <w:szCs w:val="24"/>
                <w:lang w:val="en-US" w:eastAsia="zh-CN"/>
              </w:rPr>
              <w:t>2018年应届毕业渝北区籍</w:t>
            </w:r>
            <w:r>
              <w:rPr>
                <w:rFonts w:hint="default" w:ascii="Times New Roman" w:hAnsi="Times New Roman" w:eastAsia="方正仿宋_GBK" w:cs="Times New Roman"/>
                <w:b w:val="0"/>
                <w:bCs w:val="0"/>
                <w:color w:val="auto"/>
                <w:kern w:val="0"/>
                <w:sz w:val="24"/>
                <w:szCs w:val="24"/>
              </w:rPr>
              <w:t>免费师范生（含跨省到渝北区安置就业人员）</w:t>
            </w:r>
          </w:p>
        </w:tc>
        <w:tc>
          <w:tcPr>
            <w:tcW w:w="1125" w:type="dxa"/>
            <w:vMerge w:val="restart"/>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3</w:t>
            </w:r>
            <w:r>
              <w:rPr>
                <w:rFonts w:hint="default" w:ascii="Times New Roman" w:hAnsi="Times New Roman" w:eastAsia="方正仿宋_GBK" w:cs="Times New Roman"/>
                <w:b w:val="0"/>
                <w:bCs w:val="0"/>
                <w:color w:val="auto"/>
                <w:kern w:val="0"/>
                <w:sz w:val="24"/>
                <w:szCs w:val="24"/>
                <w:lang w:val="en-US" w:eastAsia="zh-CN"/>
              </w:rPr>
              <w:t>5</w:t>
            </w:r>
            <w:r>
              <w:rPr>
                <w:rFonts w:hint="default" w:ascii="Times New Roman" w:hAnsi="Times New Roman" w:eastAsia="方正仿宋_GBK" w:cs="Times New Roman"/>
                <w:b w:val="0"/>
                <w:bCs w:val="0"/>
                <w:color w:val="auto"/>
                <w:kern w:val="0"/>
                <w:sz w:val="24"/>
                <w:szCs w:val="24"/>
              </w:rPr>
              <w:t>周岁及以下</w:t>
            </w:r>
          </w:p>
        </w:tc>
        <w:tc>
          <w:tcPr>
            <w:tcW w:w="810" w:type="dxa"/>
            <w:vMerge w:val="restart"/>
            <w:vAlign w:val="center"/>
          </w:tcPr>
          <w:p>
            <w:pPr>
              <w:widowControl/>
              <w:jc w:val="center"/>
              <w:rPr>
                <w:rFonts w:hint="default" w:ascii="Times New Roman" w:hAnsi="Times New Roman" w:eastAsia="方正仿宋_GBK"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20"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2</w:t>
            </w:r>
          </w:p>
        </w:tc>
        <w:tc>
          <w:tcPr>
            <w:tcW w:w="2168" w:type="dxa"/>
            <w:vMerge w:val="continue"/>
            <w:vAlign w:val="center"/>
          </w:tcPr>
          <w:p>
            <w:pPr>
              <w:widowControl/>
              <w:jc w:val="center"/>
              <w:rPr>
                <w:rFonts w:hint="default" w:ascii="Times New Roman" w:hAnsi="Times New Roman" w:eastAsia="方正仿宋_GBK" w:cs="Times New Roman"/>
                <w:b w:val="0"/>
                <w:bCs w:val="0"/>
                <w:color w:val="auto"/>
                <w:kern w:val="0"/>
                <w:sz w:val="24"/>
                <w:szCs w:val="24"/>
              </w:rPr>
            </w:pPr>
          </w:p>
        </w:tc>
        <w:tc>
          <w:tcPr>
            <w:tcW w:w="1237"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英语教师</w:t>
            </w:r>
          </w:p>
        </w:tc>
        <w:tc>
          <w:tcPr>
            <w:tcW w:w="705"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1</w:t>
            </w:r>
          </w:p>
        </w:tc>
        <w:tc>
          <w:tcPr>
            <w:tcW w:w="1935"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专技12级</w:t>
            </w:r>
          </w:p>
        </w:tc>
        <w:tc>
          <w:tcPr>
            <w:tcW w:w="168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c>
          <w:tcPr>
            <w:tcW w:w="2235" w:type="dxa"/>
            <w:vAlign w:val="center"/>
          </w:tcPr>
          <w:p>
            <w:pPr>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外国语言文学类</w:t>
            </w:r>
          </w:p>
        </w:tc>
        <w:tc>
          <w:tcPr>
            <w:tcW w:w="234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c>
          <w:tcPr>
            <w:tcW w:w="1125" w:type="dxa"/>
            <w:vMerge w:val="continue"/>
            <w:vAlign w:val="center"/>
          </w:tcPr>
          <w:p>
            <w:pPr>
              <w:widowControl/>
              <w:jc w:val="center"/>
              <w:rPr>
                <w:rFonts w:hint="default" w:ascii="Times New Roman" w:hAnsi="Times New Roman" w:eastAsia="方正仿宋_GBK" w:cs="Times New Roman"/>
                <w:b w:val="0"/>
                <w:bCs w:val="0"/>
                <w:color w:val="auto"/>
                <w:kern w:val="0"/>
                <w:sz w:val="24"/>
                <w:szCs w:val="24"/>
              </w:rPr>
            </w:pPr>
          </w:p>
        </w:tc>
        <w:tc>
          <w:tcPr>
            <w:tcW w:w="81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20"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3</w:t>
            </w:r>
          </w:p>
        </w:tc>
        <w:tc>
          <w:tcPr>
            <w:tcW w:w="2168"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暨华中学校</w:t>
            </w:r>
          </w:p>
        </w:tc>
        <w:tc>
          <w:tcPr>
            <w:tcW w:w="1237"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数学教师</w:t>
            </w:r>
          </w:p>
        </w:tc>
        <w:tc>
          <w:tcPr>
            <w:tcW w:w="705"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1</w:t>
            </w:r>
          </w:p>
        </w:tc>
        <w:tc>
          <w:tcPr>
            <w:tcW w:w="1935"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专技12级</w:t>
            </w:r>
          </w:p>
        </w:tc>
        <w:tc>
          <w:tcPr>
            <w:tcW w:w="168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c>
          <w:tcPr>
            <w:tcW w:w="2235" w:type="dxa"/>
            <w:vAlign w:val="center"/>
          </w:tcPr>
          <w:p>
            <w:pPr>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数学类</w:t>
            </w:r>
          </w:p>
        </w:tc>
        <w:tc>
          <w:tcPr>
            <w:tcW w:w="234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c>
          <w:tcPr>
            <w:tcW w:w="1125" w:type="dxa"/>
            <w:vMerge w:val="continue"/>
            <w:vAlign w:val="center"/>
          </w:tcPr>
          <w:p>
            <w:pPr>
              <w:widowControl/>
              <w:jc w:val="center"/>
              <w:rPr>
                <w:rFonts w:hint="default" w:ascii="Times New Roman" w:hAnsi="Times New Roman" w:eastAsia="方正仿宋_GBK" w:cs="Times New Roman"/>
                <w:b w:val="0"/>
                <w:bCs w:val="0"/>
                <w:color w:val="auto"/>
                <w:kern w:val="0"/>
                <w:sz w:val="24"/>
                <w:szCs w:val="24"/>
              </w:rPr>
            </w:pPr>
          </w:p>
        </w:tc>
        <w:tc>
          <w:tcPr>
            <w:tcW w:w="81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20"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4</w:t>
            </w:r>
          </w:p>
        </w:tc>
        <w:tc>
          <w:tcPr>
            <w:tcW w:w="2168"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渝北区空港新城小学校</w:t>
            </w:r>
          </w:p>
        </w:tc>
        <w:tc>
          <w:tcPr>
            <w:tcW w:w="1237"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英语教师</w:t>
            </w:r>
          </w:p>
        </w:tc>
        <w:tc>
          <w:tcPr>
            <w:tcW w:w="705"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1</w:t>
            </w:r>
          </w:p>
        </w:tc>
        <w:tc>
          <w:tcPr>
            <w:tcW w:w="1935"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专技12级</w:t>
            </w:r>
          </w:p>
        </w:tc>
        <w:tc>
          <w:tcPr>
            <w:tcW w:w="168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c>
          <w:tcPr>
            <w:tcW w:w="2235" w:type="dxa"/>
            <w:vAlign w:val="center"/>
          </w:tcPr>
          <w:p>
            <w:pPr>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外国语言文学类</w:t>
            </w:r>
          </w:p>
        </w:tc>
        <w:tc>
          <w:tcPr>
            <w:tcW w:w="234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c>
          <w:tcPr>
            <w:tcW w:w="1125" w:type="dxa"/>
            <w:vMerge w:val="continue"/>
            <w:vAlign w:val="center"/>
          </w:tcPr>
          <w:p>
            <w:pPr>
              <w:widowControl/>
              <w:jc w:val="center"/>
              <w:rPr>
                <w:rFonts w:hint="default" w:ascii="Times New Roman" w:hAnsi="Times New Roman" w:eastAsia="方正仿宋_GBK" w:cs="Times New Roman"/>
                <w:b w:val="0"/>
                <w:bCs w:val="0"/>
                <w:color w:val="auto"/>
                <w:kern w:val="0"/>
                <w:sz w:val="24"/>
                <w:szCs w:val="24"/>
              </w:rPr>
            </w:pPr>
          </w:p>
        </w:tc>
        <w:tc>
          <w:tcPr>
            <w:tcW w:w="81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20"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5</w:t>
            </w:r>
          </w:p>
        </w:tc>
        <w:tc>
          <w:tcPr>
            <w:tcW w:w="2168"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渝北区巴蜀小学校</w:t>
            </w:r>
          </w:p>
        </w:tc>
        <w:tc>
          <w:tcPr>
            <w:tcW w:w="1237"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语文教师</w:t>
            </w:r>
          </w:p>
        </w:tc>
        <w:tc>
          <w:tcPr>
            <w:tcW w:w="705"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1</w:t>
            </w:r>
          </w:p>
        </w:tc>
        <w:tc>
          <w:tcPr>
            <w:tcW w:w="1935" w:type="dxa"/>
            <w:vAlign w:val="center"/>
          </w:tcPr>
          <w:p>
            <w:pPr>
              <w:widowControl/>
              <w:jc w:val="center"/>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专技12级</w:t>
            </w:r>
          </w:p>
        </w:tc>
        <w:tc>
          <w:tcPr>
            <w:tcW w:w="168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c>
          <w:tcPr>
            <w:tcW w:w="2235" w:type="dxa"/>
            <w:vAlign w:val="center"/>
          </w:tcPr>
          <w:p>
            <w:pPr>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中国语言文学类</w:t>
            </w:r>
          </w:p>
        </w:tc>
        <w:tc>
          <w:tcPr>
            <w:tcW w:w="234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c>
          <w:tcPr>
            <w:tcW w:w="1125" w:type="dxa"/>
            <w:vMerge w:val="continue"/>
            <w:vAlign w:val="center"/>
          </w:tcPr>
          <w:p>
            <w:pPr>
              <w:widowControl/>
              <w:jc w:val="center"/>
              <w:rPr>
                <w:rFonts w:hint="default" w:ascii="Times New Roman" w:hAnsi="Times New Roman" w:eastAsia="方正仿宋_GBK" w:cs="Times New Roman"/>
                <w:b w:val="0"/>
                <w:bCs w:val="0"/>
                <w:color w:val="auto"/>
                <w:kern w:val="0"/>
                <w:sz w:val="24"/>
                <w:szCs w:val="24"/>
              </w:rPr>
            </w:pPr>
          </w:p>
        </w:tc>
        <w:tc>
          <w:tcPr>
            <w:tcW w:w="810" w:type="dxa"/>
            <w:vMerge w:val="continue"/>
            <w:vAlign w:val="center"/>
          </w:tcPr>
          <w:p>
            <w:pPr>
              <w:widowControl/>
              <w:jc w:val="left"/>
              <w:rPr>
                <w:rFonts w:hint="default" w:ascii="Times New Roman" w:hAnsi="Times New Roman" w:eastAsia="方正仿宋_GBK" w:cs="Times New Roman"/>
                <w:b w:val="0"/>
                <w:bCs w:val="0"/>
                <w:color w:val="auto"/>
                <w:kern w:val="0"/>
                <w:sz w:val="24"/>
                <w:szCs w:val="24"/>
              </w:rPr>
            </w:pPr>
          </w:p>
        </w:tc>
      </w:tr>
    </w:tbl>
    <w:p>
      <w:pPr>
        <w:spacing w:line="560" w:lineRule="exact"/>
        <w:ind w:right="640"/>
        <w:rPr>
          <w:rFonts w:hint="default" w:ascii="Times New Roman" w:hAnsi="Times New Roman" w:eastAsia="方正仿宋_GBK" w:cs="Times New Roman"/>
          <w:color w:val="auto"/>
          <w:sz w:val="21"/>
          <w:szCs w:val="21"/>
        </w:rPr>
      </w:pPr>
    </w:p>
    <w:p>
      <w:pPr/>
      <w:bookmarkStart w:id="0" w:name="_GoBack"/>
      <w:bookmarkEnd w:id="0"/>
    </w:p>
    <w:sectPr>
      <w:pgSz w:w="16838" w:h="11906" w:orient="landscape"/>
      <w:pgMar w:top="1247" w:right="1417" w:bottom="1247" w:left="1417" w:header="851" w:footer="992" w:gutter="0"/>
      <w:cols w:space="720" w:num="1"/>
      <w:rtlGutter w:val="0"/>
      <w:docGrid w:type="lines" w:linePitch="4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font-weight : 400">
    <w:altName w:val="Latha"/>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Latha">
    <w:panose1 w:val="020B0604020202020204"/>
    <w:charset w:val="00"/>
    <w:family w:val="auto"/>
    <w:pitch w:val="default"/>
    <w:sig w:usb0="001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瀹嬩綋">
    <w:altName w:val="宋体"/>
    <w:panose1 w:val="00000000000000000000"/>
    <w:charset w:val="86"/>
    <w:family w:val="modern"/>
    <w:pitch w:val="default"/>
    <w:sig w:usb0="00000000" w:usb1="00000000" w:usb2="00000010" w:usb3="00000000" w:csb0="00040000" w:csb1="00000000"/>
  </w:font>
  <w:font w:name="瀹嬩綋">
    <w:altName w:val="宋体"/>
    <w:panose1 w:val="00000000000000000000"/>
    <w:charset w:val="86"/>
    <w:family w:val="roman"/>
    <w:pitch w:val="default"/>
    <w:sig w:usb0="00000000" w:usb1="00000000" w:usb2="00000010" w:usb3="00000000" w:csb0="00040000" w:csb1="00000000"/>
  </w:font>
  <w:font w:name="瀹嬩綋">
    <w:altName w:val="宋体"/>
    <w:panose1 w:val="00000000000000000000"/>
    <w:charset w:val="86"/>
    <w:family w:val="swiss"/>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瀹嬩綋">
    <w:altName w:val="宋体"/>
    <w:panose1 w:val="00000000000000000000"/>
    <w:charset w:val="86"/>
    <w:family w:val="decorative"/>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16C19"/>
    <w:rsid w:val="79E16C1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2018-08-28T03:02:00Z</dcterms:created>
  <dc:creator>Administrator</dc:creator>
  <cp:lastModifiedBy>Administrator</cp:lastModifiedBy>
  <dcterms:modified xsi:type="dcterms:W3CDTF">2018-08-28T03:03:32Z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