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12121"/>
          <w:spacing w:val="0"/>
          <w:sz w:val="16"/>
          <w:szCs w:val="16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212121"/>
          <w:spacing w:val="0"/>
          <w:sz w:val="16"/>
          <w:szCs w:val="16"/>
          <w:bdr w:val="none" w:color="auto" w:sz="0" w:space="0"/>
        </w:rPr>
        <w:t>（一）高职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212121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12121"/>
          <w:spacing w:val="0"/>
          <w:sz w:val="16"/>
          <w:szCs w:val="16"/>
          <w:bdr w:val="none" w:color="auto" w:sz="0" w:space="0"/>
        </w:rPr>
        <w:t> </w:t>
      </w:r>
    </w:p>
    <w:tbl>
      <w:tblPr>
        <w:tblW w:w="8397" w:type="dxa"/>
        <w:jc w:val="center"/>
        <w:tblInd w:w="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615"/>
        <w:gridCol w:w="3297"/>
        <w:gridCol w:w="3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  <w:jc w:val="center"/>
        </w:trPr>
        <w:tc>
          <w:tcPr>
            <w:tcW w:w="1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招聘部门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招聘人数</w:t>
            </w:r>
          </w:p>
        </w:tc>
        <w:tc>
          <w:tcPr>
            <w:tcW w:w="3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专业</w:t>
            </w:r>
          </w:p>
        </w:tc>
        <w:tc>
          <w:tcPr>
            <w:tcW w:w="31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13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公共教学部（思政部）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思想政治教育、中共党史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体育（乒乓球、足球、篮球、排球；民族体育方向）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获国家级相关大赛三等奖及以上者学历可放宽至全日制本科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3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机电与汽车工程系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车辆工程、交通运输、汽车运用与维修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1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机电一体化工程、电气工程及其自动化、机械制造及其自动化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1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经济管理系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会计、财务管理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13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师范教育系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早期教育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1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声乐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具有钢琴基础，能熟练进行歌曲伴奏者优先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1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美术学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具有儿童玩具设计、艺术设计等经验者优先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1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教育技术、多媒体技术编辑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有工作经验者优先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1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护理专业（医学）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中医学专业也可，具有护理、医学、中医工作经验者学历可适当放宽至全日制本科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3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信息工程系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艺术类、计算机科学与技术类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有UI设计、网页前端设计优先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1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电子商务技术、计算机科学与技术类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1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计算机科学与技术类（云计算、大数据方向、人工智能等方向）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1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通信类（云计算、大数据、人工智能等方向）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具有三维游戏美工，虚拟现实制作等实际项目经验者优先；具有两年以上游戏或VR相关项目经验者者优先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1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游戏、VR、动漫、数媒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13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建筑工程与艺术设计系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建筑设计及其理论、城市规划、景观建筑设计等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1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3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环境设计、风景园林学、艺术设计（环境艺术设计方向）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1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影视学、数字媒体艺术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1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服装与服饰设计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1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广告设计、艺术设计（广告方向）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2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1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合计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28</w:t>
            </w:r>
          </w:p>
        </w:tc>
        <w:tc>
          <w:tcPr>
            <w:tcW w:w="3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D5368"/>
    <w:rsid w:val="217D536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2018-09-13T09:16:00Z</dcterms:created>
  <dc:creator>武大娟</dc:creator>
  <cp:lastModifiedBy>武大娟</cp:lastModifiedBy>
  <dcterms:modified xsi:type="dcterms:W3CDTF">2018-09-13T09:16:37Z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