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03" w:type="dxa"/>
        <w:jc w:val="center"/>
        <w:tblInd w:w="-1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1273"/>
        <w:gridCol w:w="1348"/>
        <w:gridCol w:w="1438"/>
        <w:gridCol w:w="2456"/>
        <w:gridCol w:w="2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3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4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24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2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  <w:jc w:val="center"/>
        </w:trPr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岱山县教育局下属高中学校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9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全日制普通高校本科及以上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地理学及相关专业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333333"/>
                <w:sz w:val="18"/>
                <w:szCs w:val="18"/>
                <w:bdr w:val="none" w:color="auto" w:sz="0" w:space="0"/>
              </w:rPr>
              <w:t>1. 年龄：1988年9月17日及以后出生，研究生学历年龄放宽到1983年9月17日及以后出生。普通话二乙以上。2.不限户籍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50014"/>
    <w:rsid w:val="0C850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2018-09-20T09:44:00Z</dcterms:created>
  <dc:creator>天空</dc:creator>
  <cp:lastModifiedBy>天空</cp:lastModifiedBy>
  <dcterms:modified xsi:type="dcterms:W3CDTF">2018-09-20T09:46:07Z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