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50" w:lineRule="atLeast"/>
        <w:rPr>
          <w:rFonts w:hint="eastAsia"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eastAsia="zh-CN"/>
        </w:rPr>
        <w:t>附件</w:t>
      </w:r>
      <w:r>
        <w:rPr>
          <w:rFonts w:hint="eastAsia" w:ascii="黑体" w:hAnsi="黑体" w:eastAsia="黑体" w:cs="黑体"/>
          <w:color w:val="333333"/>
          <w:kern w:val="0"/>
          <w:sz w:val="32"/>
          <w:szCs w:val="32"/>
          <w:lang w:val="en-US" w:eastAsia="zh-CN"/>
        </w:rPr>
        <w:t>2.</w:t>
      </w:r>
    </w:p>
    <w:p>
      <w:pPr>
        <w:widowControl/>
        <w:spacing w:line="450" w:lineRule="atLeast"/>
        <w:rPr>
          <w:rFonts w:hint="eastAsia" w:ascii="黑体" w:hAnsi="黑体" w:eastAsia="黑体" w:cs="黑体"/>
          <w:color w:val="333333"/>
          <w:kern w:val="0"/>
          <w:sz w:val="32"/>
          <w:szCs w:val="32"/>
          <w:lang w:val="en-US" w:eastAsia="zh-CN"/>
        </w:rPr>
      </w:pPr>
    </w:p>
    <w:tbl>
      <w:tblPr>
        <w:tblStyle w:val="3"/>
        <w:tblW w:w="137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80"/>
        <w:gridCol w:w="743"/>
        <w:gridCol w:w="1027"/>
        <w:gridCol w:w="1332"/>
        <w:gridCol w:w="1027"/>
        <w:gridCol w:w="1027"/>
        <w:gridCol w:w="1027"/>
        <w:gridCol w:w="1027"/>
        <w:gridCol w:w="588"/>
        <w:gridCol w:w="1013"/>
        <w:gridCol w:w="617"/>
        <w:gridCol w:w="871"/>
        <w:gridCol w:w="744"/>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30" w:hRule="atLeast"/>
        </w:trPr>
        <w:tc>
          <w:tcPr>
            <w:tcW w:w="13710" w:type="dxa"/>
            <w:gridSpan w:val="14"/>
            <w:tcBorders>
              <w:bottom w:val="single" w:color="000000" w:sz="4" w:space="0"/>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bookmarkStart w:id="0" w:name="_GoBack"/>
            <w:r>
              <w:rPr>
                <w:rFonts w:hint="eastAsia" w:ascii="方正小标宋简体" w:hAnsi="方正小标宋简体" w:eastAsia="方正小标宋简体" w:cs="方正小标宋简体"/>
                <w:i w:val="0"/>
                <w:color w:val="000000"/>
                <w:kern w:val="0"/>
                <w:sz w:val="36"/>
                <w:szCs w:val="36"/>
                <w:u w:val="none"/>
                <w:lang w:val="en-US" w:eastAsia="zh-CN" w:bidi="ar"/>
              </w:rPr>
              <w:t>关岭自治县旅游开发集团有限责任公司公开招聘工作人员岗位一览表</w:t>
            </w:r>
            <w:bookmarkEnd w:id="0"/>
            <w:r>
              <w:rPr>
                <w:rFonts w:hint="eastAsia" w:ascii="方正小标宋简体" w:hAnsi="方正小标宋简体" w:eastAsia="方正小标宋简体" w:cs="方正小标宋简体"/>
                <w:i w:val="0"/>
                <w:color w:val="000000"/>
                <w:kern w:val="0"/>
                <w:sz w:val="36"/>
                <w:szCs w:val="36"/>
                <w:u w:val="none"/>
                <w:lang w:val="en-US" w:eastAsia="zh-CN" w:bidi="ar"/>
              </w:rPr>
              <w:t>（共3人）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公司名称</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公司性质</w:t>
            </w: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公司地址</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公司咨询电话</w:t>
            </w: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招聘职位名称</w:t>
            </w: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考试类别</w:t>
            </w: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招聘人数</w:t>
            </w: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学历要求</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学位要求</w:t>
            </w:r>
          </w:p>
        </w:tc>
        <w:tc>
          <w:tcPr>
            <w:tcW w:w="1013"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专业要求</w:t>
            </w:r>
          </w:p>
        </w:tc>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政治面貌要求</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性别要求</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相关工作经验</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013"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36"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关岭自治县旅游开发集团有限责任公司</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县属国有企业</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关岭县顶云街道黄果树游客集散中心4楼</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0851-38108229</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工作人员</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大专及以上</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101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土木工程</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男性</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bl>
    <w:p>
      <w:pPr>
        <w:widowControl/>
        <w:spacing w:line="450" w:lineRule="atLeast"/>
        <w:rPr>
          <w:rFonts w:hint="eastAsia" w:ascii="黑体" w:hAnsi="黑体" w:eastAsia="黑体" w:cs="黑体"/>
          <w:color w:val="333333"/>
          <w:kern w:val="0"/>
          <w:sz w:val="32"/>
          <w:szCs w:val="32"/>
          <w:lang w:val="en-US" w:eastAsia="zh-CN"/>
        </w:rPr>
      </w:pPr>
    </w:p>
    <w:p>
      <w:pPr>
        <w:rPr>
          <w:rFonts w:hint="eastAsia" w:eastAsiaTheme="minor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46FBF"/>
    <w:rsid w:val="6D535020"/>
    <w:rsid w:val="6E446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2018-10-01T02:48:00Z</dcterms:created>
  <dc:creator>Administrator</dc:creator>
  <cp:lastModifiedBy>Administrator</cp:lastModifiedBy>
  <dcterms:modified xsi:type="dcterms:W3CDTF">2018-10-01T02:49:12Z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