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6" w:lineRule="atLeast"/>
      </w:pPr>
      <w:r>
        <w:rPr>
          <w:rFonts w:ascii="Arial" w:hAnsi="Arial" w:cs="Arial"/>
          <w:color w:val="545454"/>
          <w:sz w:val="20"/>
          <w:szCs w:val="20"/>
        </w:rPr>
        <w:t>待遇条件</w:t>
      </w:r>
    </w:p>
    <w:tbl>
      <w:tblPr>
        <w:tblW w:w="7288" w:type="dxa"/>
        <w:jc w:val="center"/>
        <w:tblInd w:w="6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2041"/>
        <w:gridCol w:w="1302"/>
        <w:gridCol w:w="24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4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岗位</w:t>
            </w:r>
          </w:p>
        </w:tc>
        <w:tc>
          <w:tcPr>
            <w:tcW w:w="2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科研启动费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（万元）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安家费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（万元）</w:t>
            </w:r>
          </w:p>
        </w:tc>
        <w:tc>
          <w:tcPr>
            <w:tcW w:w="2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租房补贴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（元/月）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教授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理工20，人文10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7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4500；发3年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副教授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理工15，人文8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5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4000；发3年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讲师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理工10，人文5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3500；发3年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4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师资博士后</w:t>
            </w:r>
          </w:p>
        </w:tc>
        <w:tc>
          <w:tcPr>
            <w:tcW w:w="579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sz w:val="20"/>
                <w:szCs w:val="20"/>
              </w:rPr>
              <w:t>　　入站科研启动费1万元，轮候周转房或发放租房补贴1200元/月，在站工资参照讲师二级岗的标准执行。出站入职后，工资待遇、科研启动费与一次性安家费按受聘岗位标准执行。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F428B"/>
    <w:rsid w:val="450F42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2018-11-12T07:51:00Z</dcterms:created>
  <dc:creator>ASUS</dc:creator>
  <cp:lastModifiedBy>ASUS</cp:lastModifiedBy>
  <dcterms:modified xsi:type="dcterms:W3CDTF">2018-11-12T07:51:20Z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