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rPr>
          <w:rFonts w:hint="eastAsia" w:eastAsia="宋体"/>
          <w:lang w:val="en-US" w:eastAsia="zh-CN"/>
        </w:rPr>
      </w:pPr>
      <w:bookmarkStart w:id="0" w:name="_GoBack"/>
      <w:r>
        <w:rPr>
          <w:rFonts w:hint="eastAsia" w:ascii="宋体" w:hAnsi="宋体" w:eastAsia="宋体" w:cs="宋体"/>
          <w:b/>
          <w:color w:val="F70938"/>
          <w:sz w:val="36"/>
          <w:szCs w:val="36"/>
          <w:bdr w:val="none" w:color="auto" w:sz="0" w:space="0"/>
        </w:rPr>
        <w:t>广州城建职业学院</w:t>
      </w:r>
      <w:r>
        <w:rPr>
          <w:rFonts w:hint="eastAsia" w:ascii="宋体" w:hAnsi="宋体" w:eastAsia="宋体" w:cs="宋体"/>
          <w:b/>
          <w:color w:val="F70938"/>
          <w:sz w:val="36"/>
          <w:szCs w:val="36"/>
          <w:bdr w:val="none" w:color="auto" w:sz="0" w:space="0"/>
          <w:lang w:val="en-US" w:eastAsia="zh-CN"/>
        </w:rPr>
        <w:t>招聘岗位及任职条件</w:t>
      </w:r>
    </w:p>
    <w:bookmarkEnd w:id="0"/>
    <w:tbl>
      <w:tblPr>
        <w:tblW w:w="11040" w:type="dxa"/>
        <w:tblCellSpacing w:w="0" w:type="dxa"/>
        <w:tblInd w:w="-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
      <w:tblGrid>
        <w:gridCol w:w="960"/>
        <w:gridCol w:w="600"/>
        <w:gridCol w:w="1200"/>
        <w:gridCol w:w="840"/>
        <w:gridCol w:w="3000"/>
        <w:gridCol w:w="4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shd w:val="clear"/>
            <w:vAlign w:val="center"/>
          </w:tcPr>
          <w:p>
            <w:pPr>
              <w:keepNext w:val="0"/>
              <w:keepLines w:val="0"/>
              <w:widowControl/>
              <w:suppressLineNumbers w:val="0"/>
              <w:jc w:val="center"/>
            </w:pPr>
            <w:r>
              <w:rPr>
                <w:rStyle w:val="4"/>
                <w:rFonts w:ascii="宋体" w:hAnsi="宋体" w:eastAsia="宋体" w:cs="宋体"/>
                <w:kern w:val="0"/>
                <w:sz w:val="24"/>
                <w:szCs w:val="24"/>
                <w:bdr w:val="none" w:color="auto" w:sz="0" w:space="0"/>
                <w:lang w:val="en-US" w:eastAsia="zh-CN" w:bidi="ar"/>
              </w:rPr>
              <w:t>部门</w:t>
            </w:r>
          </w:p>
        </w:tc>
        <w:tc>
          <w:tcPr>
            <w:tcW w:w="600" w:type="dxa"/>
            <w:shd w:val="clear"/>
            <w:vAlign w:val="center"/>
          </w:tcPr>
          <w:p>
            <w:pPr>
              <w:keepNext w:val="0"/>
              <w:keepLines w:val="0"/>
              <w:widowControl/>
              <w:suppressLineNumbers w:val="0"/>
              <w:jc w:val="center"/>
            </w:pPr>
            <w:r>
              <w:rPr>
                <w:rStyle w:val="4"/>
                <w:rFonts w:ascii="宋体" w:hAnsi="宋体" w:eastAsia="宋体" w:cs="宋体"/>
                <w:kern w:val="0"/>
                <w:sz w:val="24"/>
                <w:szCs w:val="24"/>
                <w:bdr w:val="none" w:color="auto" w:sz="0" w:space="0"/>
                <w:lang w:val="en-US" w:eastAsia="zh-CN" w:bidi="ar"/>
              </w:rPr>
              <w:t>岗位</w:t>
            </w:r>
          </w:p>
        </w:tc>
        <w:tc>
          <w:tcPr>
            <w:tcW w:w="1200" w:type="dxa"/>
            <w:shd w:val="clear"/>
            <w:vAlign w:val="center"/>
          </w:tcPr>
          <w:p>
            <w:pPr>
              <w:keepNext w:val="0"/>
              <w:keepLines w:val="0"/>
              <w:widowControl/>
              <w:suppressLineNumbers w:val="0"/>
              <w:jc w:val="center"/>
            </w:pPr>
            <w:r>
              <w:rPr>
                <w:rStyle w:val="4"/>
                <w:rFonts w:ascii="宋体" w:hAnsi="宋体" w:eastAsia="宋体" w:cs="宋体"/>
                <w:kern w:val="0"/>
                <w:sz w:val="24"/>
                <w:szCs w:val="24"/>
                <w:bdr w:val="none" w:color="auto" w:sz="0" w:space="0"/>
                <w:lang w:val="en-US" w:eastAsia="zh-CN" w:bidi="ar"/>
              </w:rPr>
              <w:t>专业</w:t>
            </w:r>
          </w:p>
        </w:tc>
        <w:tc>
          <w:tcPr>
            <w:tcW w:w="840" w:type="dxa"/>
            <w:shd w:val="clear"/>
            <w:vAlign w:val="center"/>
          </w:tcPr>
          <w:p>
            <w:pPr>
              <w:keepNext w:val="0"/>
              <w:keepLines w:val="0"/>
              <w:widowControl/>
              <w:suppressLineNumbers w:val="0"/>
              <w:jc w:val="center"/>
            </w:pPr>
            <w:r>
              <w:rPr>
                <w:rStyle w:val="4"/>
                <w:rFonts w:ascii="宋体" w:hAnsi="宋体" w:eastAsia="宋体" w:cs="宋体"/>
                <w:kern w:val="0"/>
                <w:sz w:val="24"/>
                <w:szCs w:val="24"/>
                <w:bdr w:val="none" w:color="auto" w:sz="0" w:space="0"/>
                <w:lang w:val="en-US" w:eastAsia="zh-CN" w:bidi="ar"/>
              </w:rPr>
              <w:t>人数</w:t>
            </w:r>
          </w:p>
        </w:tc>
        <w:tc>
          <w:tcPr>
            <w:tcW w:w="3000" w:type="dxa"/>
            <w:shd w:val="clear"/>
            <w:vAlign w:val="center"/>
          </w:tcPr>
          <w:p>
            <w:pPr>
              <w:keepNext w:val="0"/>
              <w:keepLines w:val="0"/>
              <w:widowControl/>
              <w:suppressLineNumbers w:val="0"/>
              <w:jc w:val="center"/>
            </w:pPr>
            <w:r>
              <w:rPr>
                <w:rStyle w:val="4"/>
                <w:rFonts w:ascii="宋体" w:hAnsi="宋体" w:eastAsia="宋体" w:cs="宋体"/>
                <w:kern w:val="0"/>
                <w:sz w:val="24"/>
                <w:szCs w:val="24"/>
                <w:bdr w:val="none" w:color="auto" w:sz="0" w:space="0"/>
                <w:lang w:val="en-US" w:eastAsia="zh-CN" w:bidi="ar"/>
              </w:rPr>
              <w:t>主讲课程</w:t>
            </w:r>
          </w:p>
        </w:tc>
        <w:tc>
          <w:tcPr>
            <w:tcW w:w="4440" w:type="dxa"/>
            <w:shd w:val="clear"/>
            <w:vAlign w:val="center"/>
          </w:tcPr>
          <w:p>
            <w:pPr>
              <w:keepNext w:val="0"/>
              <w:keepLines w:val="0"/>
              <w:widowControl/>
              <w:suppressLineNumbers w:val="0"/>
              <w:jc w:val="center"/>
            </w:pPr>
            <w:r>
              <w:rPr>
                <w:rStyle w:val="4"/>
                <w:rFonts w:ascii="宋体" w:hAnsi="宋体" w:eastAsia="宋体" w:cs="宋体"/>
                <w:kern w:val="0"/>
                <w:sz w:val="24"/>
                <w:szCs w:val="24"/>
                <w:bdr w:val="none" w:color="auto" w:sz="0" w:space="0"/>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信息工程学院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软件技术</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5</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JSP程序设计、软件框架技术、软件测试、移动互联网应用开发等课程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硕士及以上学历，有中级及以上职称者优先录用，本科学历需副高及以上。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电子商务</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6</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电子商务运营、推广，自媒体，移动电子商务，网页设计</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硕士及以上学历，有中级及以上职称者优先录用，本科学历需副高及以上职称。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计算机应用技术(数字媒体设计或虚拟仿真专业优先考虑)</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网站设计、界面设计、前端开发、三维动画设计、虚拟仿真设计</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硕士及以上学历，有中级及以上职称者优先录用，本科学历需副高及以上职称。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计算机网络技术</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信息安全技术、云计算技术、无线网络技术</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硕士及以上学历，有中级及以上职称者优先录用，本科学历需副高及以上职称。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机电工程学院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汽车检测与维修技术</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汽车性能与故障诊断、汽车电控技术 </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硕士及以上学历，有中级及以上职称者优先录用，本科学历需副高及以上。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建筑工程学院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测绘地理信息技术</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地理信息应用技术、计算机测绘程序设计、数据库</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硕士研究生及以上学历，有5年及以上企业工作经验者可放宽至本科学历，本科学历者需具有副高及以上职称。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建筑装饰工程技术</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建筑装饰工程技术、建筑装饰施工组织与管理、建筑装饰工程招投标与合同管理</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硕士研究生及以上学历，有5年及以上企业工作经验者可放宽至本科学历，本科学历者需具有副高及以上职称。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人文学院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学前教育</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学前教育原理等相关课程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学前教育（舞蹈编创）</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幼儿舞蹈编创等</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全日制硕士研究生及以上学历。编舞获得过市级以上奖项者优先考虑。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学前教育（应用钢琴）</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即兴伴奏、弹唱、作曲等</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网络新闻与传播</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网络文案与广告创意、新闻策划与采写、信息可视化制作、媒介经营管理、新媒体作品评析、网络传播实务。</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硕士及以上学历（新闻学、传播学、广告学相关专业），有中级及以上职称者优先考虑。本科学历者需具有副高及以上职称。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传播与策划</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Flash动画设计与制作、网页设计与网站建设、交互设计、摄影基础、平面设计基础、数字摄像与后期制作。</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硕士及以上学历（数字媒体相关专业），有中级及以上职称者优先考虑。本科学历者需具有副高及以上职称。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思想政治教育</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马克思主义基本原理概论</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硕士及以上学历，表达能力、科研能力强者优先考虑。本科学历者需具有副高及以上职称。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体育</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拉丁舞、摩登舞</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全日制硕士研究生及以上学历，获得过省级以上比赛等级奖者优先考虑。本科学历者需具有副高及以上职称。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数学</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工程数学、经济应用数学</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博士或高级职称优先考虑。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外语外贸学院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会展策划与管理</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会展策划与管理相关课程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硕士研究生及以上，副高及以上职称。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应用韩语</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韩语类课程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大学英语</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3</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大学英语相关课程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硕士研究生及以上学历，有商务英语专业、会展管理、国贸专业背景优先考虑。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国贸与报关</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国际贸易、国际商务等相关专业</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硕士研究生及以上学历，具有企业经验，能教跨境电商、报关报检货代物流等方面课程优先考虑。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经济与管理学院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会计</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会计基础、会计电算化、财经法规和会计职业道德、财务会计、会计软件应用、财务管理、成本核算实务、税务会计、EXCEL在会计中的应用、审计实务、税务实训、注册会计师审计实训、财务报表分析、管理会计等</w:t>
            </w:r>
          </w:p>
        </w:tc>
        <w:tc>
          <w:tcPr>
            <w:tcW w:w="4440" w:type="dxa"/>
            <w:shd w:val="cle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财务管理</w:t>
            </w:r>
          </w:p>
        </w:tc>
        <w:tc>
          <w:tcPr>
            <w:tcW w:w="84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财务管理、财务会计、会计电算化、税务会计、成本管理会计、财务报表分析、创新财务实战、互联网金融、证券投资、审计实务、高级财务会计、企业内部控制、公司战略与风险管理、资本运营理论与实务、工程财务与会计等</w:t>
            </w:r>
          </w:p>
        </w:tc>
        <w:tc>
          <w:tcPr>
            <w:tcW w:w="4440" w:type="dxa"/>
            <w:shd w:val="clear"/>
            <w:tcMar>
              <w:top w:w="60" w:type="dxa"/>
              <w:left w:w="120" w:type="dxa"/>
              <w:bottom w:w="60" w:type="dxa"/>
              <w:right w:w="12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金融</w:t>
            </w:r>
          </w:p>
        </w:tc>
        <w:tc>
          <w:tcPr>
            <w:tcW w:w="84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金融学基础、商业银行综合柜台业务、商业银行经营与管理、个人理财、个人信贷、公司信贷、互联网金融实务、保险理论与实务、金融风险管理、金融营销等</w:t>
            </w:r>
          </w:p>
        </w:tc>
        <w:tc>
          <w:tcPr>
            <w:tcW w:w="4440" w:type="dxa"/>
            <w:shd w:val="clear"/>
            <w:tcMar>
              <w:top w:w="60" w:type="dxa"/>
              <w:left w:w="120" w:type="dxa"/>
              <w:bottom w:w="60" w:type="dxa"/>
              <w:right w:w="12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市场营销</w:t>
            </w:r>
          </w:p>
        </w:tc>
        <w:tc>
          <w:tcPr>
            <w:tcW w:w="84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市场营销实务、市场调查与预测、网络营销、推销技巧、客户关系管理、商务谈判与沟通、营销策划、房地产销售、销售管理等</w:t>
            </w:r>
          </w:p>
        </w:tc>
        <w:tc>
          <w:tcPr>
            <w:tcW w:w="4440" w:type="dxa"/>
            <w:shd w:val="clear"/>
            <w:tcMar>
              <w:top w:w="60" w:type="dxa"/>
              <w:left w:w="120" w:type="dxa"/>
              <w:bottom w:w="60" w:type="dxa"/>
              <w:right w:w="12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工商企业管理</w:t>
            </w:r>
          </w:p>
        </w:tc>
        <w:tc>
          <w:tcPr>
            <w:tcW w:w="84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管理学基础、人力资源管理、个人与团队管理、生产与运作管理、ERP原理与应用、企业经营与运营管理、电子商务应用、市场调查与预测等</w:t>
            </w:r>
          </w:p>
        </w:tc>
        <w:tc>
          <w:tcPr>
            <w:tcW w:w="4440" w:type="dxa"/>
            <w:shd w:val="clear"/>
            <w:tcMar>
              <w:top w:w="60" w:type="dxa"/>
              <w:left w:w="120" w:type="dxa"/>
              <w:bottom w:w="60" w:type="dxa"/>
              <w:right w:w="12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人力资源管理</w:t>
            </w:r>
          </w:p>
        </w:tc>
        <w:tc>
          <w:tcPr>
            <w:tcW w:w="84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tcMar>
              <w:top w:w="60" w:type="dxa"/>
              <w:left w:w="120" w:type="dxa"/>
              <w:bottom w:w="60" w:type="dxa"/>
              <w:right w:w="120"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管理学基础、人力资源管理、人力资源规划实务、企业经营管理沙盘实训、绩效与薪酬管理实务、招聘与配置实务、培训与开发实务等</w:t>
            </w:r>
          </w:p>
        </w:tc>
        <w:tc>
          <w:tcPr>
            <w:tcW w:w="4440" w:type="dxa"/>
            <w:shd w:val="clear"/>
            <w:tcMar>
              <w:top w:w="60" w:type="dxa"/>
              <w:left w:w="120" w:type="dxa"/>
              <w:bottom w:w="60" w:type="dxa"/>
              <w:right w:w="120" w:type="dxa"/>
            </w:tcM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物流管理</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物流管理基础、运输组织与管理、物流采购管理、仓储与配送管理、物流信息管理、物流成本管理、物流法律法规、供应链管理、物流营销、物流企业管理等</w:t>
            </w:r>
          </w:p>
        </w:tc>
        <w:tc>
          <w:tcPr>
            <w:tcW w:w="4440" w:type="dxa"/>
            <w:shd w:val="clear"/>
            <w:vAlign w:val="top"/>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硕士研究生及以上学历，中级及以上职称，有高校工作经验者优先。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艺术与设计学院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动漫制作技术</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动漫制作相关课程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全日制硕士研究生及以上学历，中级及以上职称。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服装与服饰设计</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服装与服饰设计相关课程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全日制硕士研究生及以上学历，中级及以上职称。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产品艺术设计</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产品艺术设计相关课程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全日制硕士研究生及以上学历，中级及以上职称，首饰设计专业优先考虑。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vMerge w:val="restart"/>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创业教育学院</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教师</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经管类或理工科专业</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3</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创新、创业课程</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硕士研究生及以上学历，中级以上职称（具有3年以上高校创新创业相关课程教学经验或企业中（高）层管理经验，指导学生团队获得过省级创新创业大赛二等奖以上或担任过地市级以上创新创业大赛的评委等人员可适当放宽学历至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2.具备较丰富的教学及指导学生创新创业项目经验；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3.熟练使用各种办公软件，文字功底扎实；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4.能吃苦耐劳，具有较强的执行力和沟通能力；</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5.具有副高以上职称或博士学位优先考虑。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vMerge w:val="continue"/>
            <w:shd w:val="clear"/>
            <w:vAlign w:val="center"/>
          </w:tcPr>
          <w:p>
            <w:pPr>
              <w:jc w:val="center"/>
              <w:rPr>
                <w:rFonts w:hint="eastAsia" w:ascii="宋体"/>
                <w:sz w:val="24"/>
                <w:szCs w:val="24"/>
              </w:rPr>
            </w:pP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创业管理专员</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专业不限</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1.硕士研究生学历（综合素质优秀的本科生可放宽条件）；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2.具备教学、指导学生创业项目或高校工作经验；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3.熟练使用各种办公及图片视频编辑软件，文字功底扎实；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4.能吃苦耐劳，具有较强的执行力和沟通能力。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教学质量管理办公室</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教学督导</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建筑、机电、信息类相关专业</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5</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本科以上学历，副高及以上，责任心强、作风正派，有高职院校教学管理或教学督导经验。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科技处</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校企合作干事</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理工类优先考虑</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本科及以上学历，负责校企合作项目管理，具有良好计算机应用能力和行政事务管理能力，品行端正，有良好的沟通协调能力和团队合作精神。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rPr>
          <w:tblCellSpacing w:w="0" w:type="dxa"/>
        </w:trPr>
        <w:tc>
          <w:tcPr>
            <w:tcW w:w="96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图书馆</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参考咨询</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图书馆学或相关专业</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图书馆参考咨询工作相关内容，试讲约20分钟</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1.本科及以上学历；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2.熟悉多种数据库的使用和操作方法，开展定题跟踪、文献信息的检索和传递等服务；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3.具有较强的组织、沟通和协调能力，开展读者培训、数字资源推广等活动；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4.具有团结协作精神，服从安排，协助其它部门完成工作；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5.有相关工作经历或经验者优先考虑。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rPr>
          <w:tblCellSpacing w:w="0" w:type="dxa"/>
        </w:trPr>
        <w:tc>
          <w:tcPr>
            <w:tcW w:w="96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合计</w:t>
            </w:r>
          </w:p>
        </w:tc>
        <w:tc>
          <w:tcPr>
            <w:tcW w:w="6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2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84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57</w:t>
            </w:r>
          </w:p>
        </w:tc>
        <w:tc>
          <w:tcPr>
            <w:tcW w:w="3000" w:type="dxa"/>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444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F1E0E"/>
    <w:rsid w:val="17AF1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666666"/>
      <w:sz w:val="14"/>
      <w:szCs w:val="14"/>
      <w:u w:val="none"/>
    </w:rPr>
  </w:style>
  <w:style w:type="character" w:styleId="6">
    <w:name w:val="Hyperlink"/>
    <w:basedOn w:val="3"/>
    <w:uiPriority w:val="0"/>
    <w:rPr>
      <w:color w:val="666666"/>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2018-11-19T03:11:00Z</dcterms:created>
  <dc:creator>石虎哥</dc:creator>
  <cp:lastModifiedBy>石虎哥</cp:lastModifiedBy>
  <dcterms:modified xsi:type="dcterms:W3CDTF">2018-11-19T03:12:31Z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